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C-1758/2012 vom 9. November 2012</w:t>
      </w:r>
    </w:p>
    <w:p>
      <w:r>
        <w:t>Bundesverwaltungsgericht, 2012-11-09, FR</w:t>
      </w:r>
    </w:p>
    <w:p>
      <w:r>
        <w:rPr>
          <w:b/>
        </w:rPr>
        <w:t xml:space="preserve">Quelle: </w:t>
      </w:r>
      <w:r>
        <w:t>https://mcp.opencaselaw.ch/entscheid/bvger_C-1758_2012</w:t>
      </w:r>
    </w:p>
    <w:p>
      <w:r>
        <w:t>FR: TAF C-1758/2012 du 9 novembre 2012</w:t>
      </w:r>
    </w:p>
    <w:p>
      <w:r>
        <w:t>IT: TAF C-1758/2012 del 9 novembre 2012</w:t>
      </w:r>
    </w:p>
    <w:p>
      <w:pPr>
        <w:pStyle w:val="Heading2"/>
      </w:pPr>
      <w:r>
        <w:t>Regeste</w:t>
      </w:r>
    </w:p>
    <w:p>
      <w:r>
        <w:t>Droit à la rente</w:t>
      </w:r>
    </w:p>
    <w:p>
      <w:pPr>
        <w:pStyle w:val="Heading2"/>
      </w:pPr>
      <w:r>
        <w:t>Erwägungen</w:t>
      </w:r>
    </w:p>
    <w:p>
      <w:r>
        <w:rPr>
          <w:b/>
        </w:rPr>
        <w:t>E. 9.1</w:t>
      </w:r>
    </w:p>
    <w:p>
      <w:r>
        <w:t>Pour finir, la recourante invoque qu'en tout état de cause il ne lui serait de toute manière plus possible de mettre une éventuelle capacité résiduelle de travail sur un marché équilibré au vu des nombreuses limitations fonctionnelles dues à son état de santé, l'empêchant selon elle de faire preuve de la rentabilité exigible.</w:t>
      </w:r>
    </w:p>
    <w:p>
      <w:r>
        <w:rPr>
          <w:b/>
        </w:rPr>
        <w:t>E. 9.2</w:t>
      </w:r>
    </w:p>
    <w:p>
      <w:r>
        <w:t>Pour évaluer l'invalidité, il n'y a ainsi lieu de demander si l'assuré pourrait encore exploiter sa capacité résiduelle de travail lorsque les places de travail disponibles correspondent à l'offre de la main d'oeuvre (VSI 1998 p. 296 consid. 3b et les références). En outre,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w:t>
      </w:r>
    </w:p>
    <w:p>
      <w:r>
        <w:rPr>
          <w:b/>
        </w:rPr>
        <w:t>E. 9.3</w:t>
      </w:r>
    </w:p>
    <w:p>
      <w:r>
        <w:t>Dans l'analyse globale de la situation, il convient de relever en première ligne que l'assurée, malgré ses atteintes à la santé, peut exercer à temps complet nombre d'activités adaptées sédentaires légères. De plus, l'offre de main d'oeuvre pour des activités simples non physiques n'est en principe pas influencée de façon déterminante par l'âge des demandeurs d'emploi (arrêts du Tribunal fédéral I 39/04 du 20 juillet 2004 consid. 2.4; 9C_610/2007 du 23 octobre 2007 consid. 4.3). Au vu de l'ensemble des circonstances et des limitations fonctionnelles de l'assurée, il n'apparaît par conséquent pas irréaliste que l'intéressée puisse mettre à profit sa capacité résiduelle de travail sur un marché de l'emploi équilibré (cf. également arrêts du Tribunal fédéral I 112/04 du 11 mai 2004 consid. 3.1; I 376/05 du 5 août 2005 consid. 4.2; I 304/06 du 22 janvier 2007 consid. 4.2; 9C_610/2007 du 23 octobre 2007 consid. 4.3). Au demeurant, comme exposé supra consid.7.5 , le Tribunal de céans a tenu compte de manière appropriée des effets des handicaps de la recourante en lui concédant un abattement de 20% sur le salaire statistique après invalidité, et dès lors, estime que celle-ci reste capable de mettre à profit sa capacité résiduelle de travail sur un marché équilibré.</w:t>
      </w:r>
    </w:p>
    <w:p>
      <w:r>
        <w:rPr>
          <w:b/>
        </w:rPr>
        <w:t>E. 10</w:t>
      </w:r>
    </w:p>
    <w:p>
      <w:r>
        <w:t>En conclusion, il appert que la décision litigieuse doit être confirmée et le recours de A._______ rejeté. Celui-ci étant manifestement infondé, il convient de statuer le présent litige dans une procédure à juge unique (art. 85bis al. 3 de la loi sur l'assurance-vieillesse et survivants, LAVS [RS 831.10] en relation avec l'art. 69 al. 2 LAI).</w:t>
      </w:r>
    </w:p>
    <w:p>
      <w:r>
        <w:rPr>
          <w:b/>
        </w:rPr>
        <w:t>E. 11</w:t>
      </w:r>
    </w:p>
    <w:p>
      <w:r>
        <w:t>Vu l'issue du litige, les frais de procédure, fixés à Fr. 400.-, sont mis à la charge de la recourante (art. 63 al. 1 PA en relation avec l'art. 37 LTAF). Ils seront compensés avec l'avance de frais déjà versée le 27 août 2012 (TAF pces 4 à 6). En outre, il n'est pas alloué de dépens, l'autorité inférieure n'ayant pas droit à ceux-ci (art. 7 al. 1 et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