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C-1749/2013 vom 17. Juni 2013</w:t>
      </w:r>
    </w:p>
    <w:p>
      <w:r>
        <w:t>Bundesverwaltungsgericht, 2013-06-17, DE</w:t>
      </w:r>
    </w:p>
    <w:p>
      <w:r>
        <w:rPr>
          <w:b/>
        </w:rPr>
        <w:t xml:space="preserve">Quelle: </w:t>
      </w:r>
      <w:r>
        <w:t>https://mcp.opencaselaw.ch/entscheid/bvger_C-1749_2013</w:t>
      </w:r>
    </w:p>
    <w:p>
      <w:r>
        <w:t>FR: TAF C-1749/2013 du 17 juin 2013</w:t>
      </w:r>
    </w:p>
    <w:p>
      <w:r>
        <w:t>IT: TAF C-1749/2013 del 17 giugno 2013</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ausgerichtet.</w:t>
      </w:r>
    </w:p>
    <w:p>
      <w:r>
        <w:rPr>
          <w:b/>
        </w:rPr>
        <w:t>E. 3</w:t>
      </w:r>
    </w:p>
    <w:p>
      <w:r>
        <w:t>Der verspätet geleistete Kostenvorschuss von Fr. (...).- wird der Beschwerdeführerin nach Eintritt der Rechtskraft des vorliegenden Urteils zurückerstattet.</w:t>
      </w:r>
    </w:p>
    <w:p>
      <w:r>
        <w:rPr>
          <w:b/>
        </w:rPr>
        <w:t>E. 4</w:t>
      </w:r>
    </w:p>
    <w:p>
      <w:r>
        <w:t>Dieses Urteil geht an: - die Beschwerdeführerin (Gerichtsurkunde) - die Vorinstanz (Gerichtsurkunde) - das Bundesamt für Sozialversicherungen - die Oberaufsichtskommission BVG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