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C-1748/2019 vom 3. November 2020</w:t>
      </w:r>
    </w:p>
    <w:p>
      <w:r>
        <w:t>Bundesverwaltungsgericht, 2020-11-03, DE</w:t>
      </w:r>
    </w:p>
    <w:p>
      <w:r>
        <w:rPr>
          <w:b/>
        </w:rPr>
        <w:t xml:space="preserve">Quelle: </w:t>
      </w:r>
      <w:r>
        <w:t>https://mcp.opencaselaw.ch/entscheid/bvger_C-1748_2019</w:t>
      </w:r>
    </w:p>
    <w:p>
      <w:r>
        <w:t>FR: TAF C-1748/2019 du 3 novembre 2020</w:t>
      </w:r>
    </w:p>
    <w:p>
      <w:r>
        <w:t>IT: TAF C-1748/2019 del 3 novembre 2020</w:t>
      </w:r>
    </w:p>
    <w:p>
      <w:pPr>
        <w:pStyle w:val="Heading2"/>
      </w:pPr>
      <w:r>
        <w:t>Regeste</w:t>
      </w:r>
    </w:p>
    <w:p>
      <w:r>
        <w:t>Spezialitätenliste</w:t>
      </w:r>
    </w:p>
    <w:p>
      <w:pPr>
        <w:pStyle w:val="Heading2"/>
      </w:pPr>
      <w:r>
        <w:t>Erwägungen</w:t>
      </w:r>
    </w:p>
    <w:p>
      <w:r>
        <w:rPr>
          <w:b/>
        </w:rPr>
        <w:t>E. 1</w:t>
      </w:r>
    </w:p>
    <w:p>
      <w:r>
        <w:t>Das Beschwerdeverfahren wird zufolge Rückzugs als gegenstandslos geworden abgeschrieben.</w:t>
      </w:r>
    </w:p>
    <w:p>
      <w:r>
        <w:rPr>
          <w:b/>
        </w:rPr>
        <w:t>E. 2</w:t>
      </w:r>
    </w:p>
    <w:p>
      <w:r>
        <w:t>Der Beschwerdeführerin werden Verfahrenskosten in der Höhe von Fr. 1'250.- auferlegt, dem geleisteten Kostenvorschuss von Fr. 5'000.- entnommen und der Restbetrag von Fr. 3'750.- wird nach Eintritt der Rechtskraft des vorliegenden Urteils auf ein von ihr zu bezeichnendes Konto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 [...]; Gerichtsurkunde; Beilage: Kopie der Eingabe der Beschwerdeführerin vom 27.10.2020) - das Eidgenössische Departement des Innern (Einschreiben) Der Einzelrichter: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