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C-1748/2013 vom 23. Mai 2014</w:t>
      </w:r>
    </w:p>
    <w:p>
      <w:r>
        <w:t>Bundesverwaltungsgericht, 2014-05-23, FR</w:t>
      </w:r>
    </w:p>
    <w:p>
      <w:r>
        <w:rPr>
          <w:b/>
        </w:rPr>
        <w:t xml:space="preserve">Quelle: </w:t>
      </w:r>
      <w:r>
        <w:t>https://mcp.opencaselaw.ch/entscheid/bvger_C-1748_2013</w:t>
      </w:r>
    </w:p>
    <w:p>
      <w:r>
        <w:t>FR: TAF C-1748/2013 du 23 mai 2014</w:t>
      </w:r>
    </w:p>
    <w:p>
      <w:r>
        <w:t>IT: TAF C-1748/2013 del 23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ayant été rejetée par décision du 17 février 2009 de l'OAIE parce que, malgré l'atteinte à la santé, l'accomplissement des travaux habituels était toujours exigible dans une mesure suffisante pour exclure le droit à une rente.</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En l'espèce, l'OAIE n'a pas rendu de décision de refus d'entrer en matière, mais a examiné la nouvelle demande matériellement. Le Tribunal peut donc se limiter à examiner si la recourante remplit les conditions d'octroi d'une rente jusqu'au 25 février 2013,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 recourante a travaillé en Suisse de 1988 à 1999. Elle est ensuite retournée d'installer au Portugal et n'a pas poursuivi son 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dans la décision du 25 février 2013, l'OAIE a retenu qu'il n'y avait pas d'incapacité de travail suffisante dans les tâches ménagères pour ouvrir le droit à une rente d'invalidité. L'assurée, quant à elle, fait valoir une péjoration de son état de santé depuis la première décision du 17 février 2009.</w:t>
      </w:r>
    </w:p>
    <w:p>
      <w:r>
        <w:rPr>
          <w:b/>
        </w:rPr>
        <w:t>E. 9.2</w:t>
      </w:r>
    </w:p>
    <w:p>
      <w:r>
        <w:t>Compte tenu des documents médicaux apportés par l'assurée, le Tribunal de céans ne peut que retenir que l'évaluation de l'invalidité lors de la décision du 17 février 2009 entrée en force reste valable puisque l'accomplissement des travaux habituels restait toujours exigible dans une mesure suffisante pour exclure le droit à une rente.</w:t>
      </w:r>
    </w:p>
    <w:p>
      <w:r>
        <w:rPr>
          <w:b/>
        </w:rPr>
        <w:t>E. 9.3</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pleine capacité de travail dans les tâches ménagères n'a pas lieu d'être mise en doute.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10.3</w:t>
      </w:r>
    </w:p>
    <w:p>
      <w:r>
        <w:t>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28a al. 2 LAI, art. 27 du règlement du 17 janvier 1961 sur l'assurance-invalidité [RAI, RS 831.201] et art. 8 al. 3 LPGA).</w:t>
      </w:r>
    </w:p>
    <w:p>
      <w:r>
        <w:rPr>
          <w:b/>
        </w:rPr>
        <w:t>E. 11.1</w:t>
      </w:r>
    </w:p>
    <w:p>
      <w:r>
        <w:t>En l'espèce il y a ainsi lieu de procéder à une évaluation de l'invalidité selon la méthode spécifique. En effet, l'intéressée a cessé son activité lucrative en 1999 et s'occupe depuis lors du ménage. Etant donné que la recourante présente, malgré des crises occasionnelles d'épilepsie, toujours la même capacité de travail dans les tâches ménagères, on ne voit pas pourquoi le taux d'invalidité se serait modifié dès lors, en tout cas pas dans une mesure qui ouvrirait le droit à une rente. Il appert de ce qui précède que le recours doit être rejeté et la décision attaquée confirmée.</w:t>
      </w:r>
    </w:p>
    <w:p>
      <w:r>
        <w:rPr>
          <w:b/>
        </w:rPr>
        <w:t>E. 11.2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12.2</w:t>
      </w:r>
    </w:p>
    <w:p>
      <w:r>
        <w:t>Les frais de procédure, fixés à 400 francs, sont mis à la charge de la recourante (art. 63 al. 1 PA, applicable par le truchement de l'art. 37 LTAF). Ils sont compensés par l'avance de frais du même montant dont elle s'est acquittée au cours de l'instruction.</w:t>
      </w:r>
    </w:p>
    <w:p>
      <w:r>
        <w:rPr>
          <w:b/>
        </w:rPr>
        <w:t>E. 12.3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