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C-1746/2010 vom 30. August 2012</w:t>
      </w:r>
    </w:p>
    <w:p>
      <w:r>
        <w:t>Bundesverwaltungsgericht, 2012-08-30, DE</w:t>
      </w:r>
    </w:p>
    <w:p>
      <w:r>
        <w:rPr>
          <w:b/>
        </w:rPr>
        <w:t xml:space="preserve">Quelle: </w:t>
      </w:r>
      <w:r>
        <w:t>https://mcp.opencaselaw.ch/entscheid/bvger_C-1746_2010</w:t>
      </w:r>
    </w:p>
    <w:p>
      <w:r>
        <w:t>FR: TAF C-1746/2010 du 30 août 2012</w:t>
      </w:r>
    </w:p>
    <w:p>
      <w:r>
        <w:t>IT: TAF C-1746/2010 del 30 agosto 2012</w:t>
      </w:r>
    </w:p>
    <w:p>
      <w:pPr>
        <w:pStyle w:val="Heading2"/>
      </w:pPr>
      <w:r>
        <w:t>Regeste</w:t>
      </w:r>
    </w:p>
    <w:p>
      <w:r>
        <w:t>Rentenanspruch</w:t>
      </w:r>
    </w:p>
    <w:p>
      <w:pPr>
        <w:pStyle w:val="Heading2"/>
      </w:pPr>
      <w:r>
        <w:t>Erwägungen</w:t>
      </w:r>
    </w:p>
    <w:p>
      <w:r>
        <w:rPr>
          <w:b/>
        </w:rPr>
        <w:t>E. 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2</w:t>
      </w:r>
    </w:p>
    <w:p>
      <w:r>
        <w:t>Das Verfahren vor dem Bundesverwaltungsgericht richtet sich grundsätzlich nach dem Verwaltungsverfahrensgesetz vom 20. Dezember 1968 (VwVG, SR 172.021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 Auf die frist- und formgerecht eingereichte Beschwerde (vgl. Art. 38 ff. und Art. 60 ATSG) ist daher einzutreten.</w:t>
      </w:r>
    </w:p>
    <w:p>
      <w:r>
        <w:rPr>
          <w:b/>
        </w:rPr>
        <w:t>E. 3</w:t>
      </w:r>
    </w:p>
    <w:p>
      <w:r>
        <w:t>Zunächst sind die für die Beurteilung des Anspruchs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der streitigen Verwaltungsverfügung (hier: 4. Januar 2010)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materiellen Rechtssätze massgebend, die bei der Erfüllung des rechtlich zu ordnenden oder zu Rechtsfolgen führenden Tatbestandes Geltung haben (Urteil des Bundesgerichts [BGer] 8C_419/ 2009 vom 3. November 2009 E. 3.1, BGE 132 V 215 E. 3.1.1).</w:t>
      </w:r>
    </w:p>
    <w:p>
      <w:r>
        <w:rPr>
          <w:b/>
        </w:rPr>
        <w:t>E. 3.2</w:t>
      </w:r>
    </w:p>
    <w:p>
      <w:r>
        <w:t>Der Beschwerdeführer ist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3.2.1</w:t>
      </w:r>
    </w:p>
    <w:p>
      <w:r>
        <w:t>Anhang II des FZA betreffend die Koordinierung der Systeme der sozialen Sicherheit wurde per 1. April 2012 geändert (Beschluss Nr. 1/2012 des Gemischten Ausschusses vom 31. März 2012; AS 2012 2345). Vorliegend ist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3.2.2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3.3</w:t>
      </w:r>
    </w:p>
    <w:p>
      <w:r>
        <w:t>Das am 1. Januar 2012 in Kraft getretene erste Massnahmenpaket der 6. IV-Revision (IVG in der Fassung vom 18. März 2011 [AS 2011 5659]) findet vorliegend noch keine Anwendung. Nachfolgend wird - soweit nicht anders vermerkt - das IVG, die Verordnung vom 17. Januar 1961 über die Invalidenversicherung (IVV, SR 831.201) und das ATSG in der seit 1. Januar 2008 (5. IV-Revision) gültigen Fassung zitiert.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3.6</w:t>
      </w:r>
    </w:p>
    <w:p>
      <w:r>
        <w:t>Der Rentenanspruch entsteht frühestens nach Ablauf von sechs Monaten nach Geltendmachung des Leistungsanspruchs nach Art. 29 Abs. 1 ATSG (Art. 29 Abs. 1 IVG).</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w:t>
      </w:r>
    </w:p>
    <w:p>
      <w:r>
        <w:rPr>
          <w:b/>
        </w:rPr>
        <w:t>E. 3.8</w:t>
      </w:r>
    </w:p>
    <w:p>
      <w:r>
        <w:t>Bei erwerbstätigen Versicherten ist der Invaliditätsgrad gemäss Art. 16 ATSG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 Massgeblicher Zeitpunkt für den Einkommensvergleich sind die Verhältnisse im Zeitpunkt des (hypothetischen) Beginns des Rentenanspruchs (BGE 129 V 222 E. 4).</w:t>
      </w:r>
    </w:p>
    <w:p>
      <w:r>
        <w:rPr>
          <w:b/>
        </w:rPr>
        <w:t>E. 4</w:t>
      </w:r>
    </w:p>
    <w:p>
      <w:r>
        <w:t>Nachfolgend ist zu prüfen, ob der Beschwerdeführer bis zum 4. März 2010 (Datum der angefochtenen Verfügung) in anspruchserheblichem Umfang invalid geworden ist.</w:t>
      </w:r>
    </w:p>
    <w:p>
      <w:r>
        <w:rPr>
          <w:b/>
        </w:rPr>
        <w:t>E. 4.1</w:t>
      </w:r>
    </w:p>
    <w:p>
      <w:r>
        <w:t>Unbestritten ist, dass der Beschwerdeführer seine frühere Arbeit als Chauffeur im Fernverkehr seit dem Jahr 2002 nicht mehr ausüben kann. Prof. Dr. med. F._______, Direktor der Klinik für Neurochirurgie in G._______, führte in seinem Bericht vom 11. März 2002 (IV-act. 66) aus, der Patient leide an multiplen und erheblichen degenerativen Veränderungen der Wirbelsäule und sei daher für die Tätigkeit als LKW-Fahrer nicht mehr geeignet. Die IV-Stelle Aargau sprach ihm deshalb im September 2002 Eingliederungsmassnahmen zu, von welchen der Beschwer­deführer jedoch keinen Gebrauch machte.</w:t>
      </w:r>
    </w:p>
    <w:p>
      <w:r>
        <w:rPr>
          <w:b/>
        </w:rPr>
        <w:t>E. 4.2</w:t>
      </w:r>
    </w:p>
    <w:p>
      <w:r>
        <w:t>Streitig ist die Arbeitsfähigkeit in einer leidensangepassten Tätigkeit.</w:t>
      </w:r>
    </w:p>
    <w:p>
      <w:r>
        <w:rPr>
          <w:b/>
        </w:rPr>
        <w:t>E. 4.2.1</w:t>
      </w:r>
    </w:p>
    <w:p>
      <w:r>
        <w:t>Dr. H._______, Facharzt für Orthopädie und Sozialmedizin, von der ärztlichen Untersuchungsstelle der Deutschen Rentenversicherung (DRV) stellt in seinem ausführlichen Bericht vom 24. April 2009 (E 213) folgende Diagnosen: 1. Chronisch-rezidivierende Lumbalgien, ohne Zeichen eines Nervenwurzelreizsyndroms (ICD-10 M.4.5). 2. Ausgeprägtes Übergewicht (E66). 3. Erfolgreich operativ und mittels Sekundärprävention behandelte coronare 2-Gefässerkrankung (OP 2005 [I25.12]). 4. Anamnes­tisch Hyperurikämie. 5. Arterielle Hypertonie (I10). 6. Meralgia parästhetica links (noch keine Behandlung [G57.1]). 7. Hinweis auf subklinischen Diabetes mellitus Typ II b (E11). In seiner Beurteilung führt er aus, eine quantitative Leistungsminderung für den allgemeinen Arbeitsmarkt könne aufgrund der aktuellen medizinischen Datenlage nicht abgeleitet werden. Es bestehe weiterhin ein mindestens 6-stündiges Leistungsvermögen für leichte bis gelegentlich mittelschwere Tätigkeiten ohne Wirbelsäulenzwangshaltungen. Die Tätigkeiten sollten mit wechselnder Körperhaltung (Gehen, Stehen, Sitzen) erfolgen; zu vermeiden seien Nässe, Kälte und Zugluft. Die zuletzt ausgeübte Tätigkeit als Imbissinhaber könne - wie andere angepasste Tätigkeiten - vollschichtig ausgeübt werden. Durch medizinische und (anschliessend) berufliche Rehabilitation könnte eine Verbesserung des Gesundheitszustandes bzw. der Leistungsfähigkeit erreicht werden.</w:t>
      </w:r>
    </w:p>
    <w:p>
      <w:r>
        <w:rPr>
          <w:b/>
        </w:rPr>
        <w:t>E. 4.2.2</w:t>
      </w:r>
    </w:p>
    <w:p>
      <w:r>
        <w:t>Der IV-Stellenarzt Dr. C._______ führt, gestützt auf den Bericht von Dr. H._______, in seiner Stellungnahme vom 5. Oktober 2009 als primäre Diagnose die rezidivierende Lumboischialgie sowie Adipositas an. Er attestiert dem Versicherten in seiner Tätigkeit als Imbissbudenbetreiber (seit Januar 2008) sowie in anderen leidensangepassten Tätigkeiten eine Arbeitsunfähigkeit von 20%, wobei seine Beurteilung kaum und die quantitative Einschränkung gar nicht begründet wird (IV-act. 76).</w:t>
      </w:r>
    </w:p>
    <w:p>
      <w:r>
        <w:rPr>
          <w:b/>
        </w:rPr>
        <w:t>E. 4.2.3</w:t>
      </w:r>
    </w:p>
    <w:p>
      <w:r>
        <w:t>Das vom Beschwerdeführer im Anhörungsverfahren eingereichte Attest des Hausarztes vom 7. Dezember 2009 ist für die Beurteilung der Arbeitsfähigkeit nicht aussagekräftig. Laut Dr. D._______ führt die Lumbalgie mit Wurzelkompressionssymptomatik weiterhin zu Belastungseinschränkungen mit bewegungsabhängigen Schmerzen. Im Übrigen äussert er sich nicht zur Arbeitsfähigkeit (IV-act. 83).</w:t>
      </w:r>
    </w:p>
    <w:p>
      <w:r>
        <w:rPr>
          <w:b/>
        </w:rPr>
        <w:t>E. 4.2.4</w:t>
      </w:r>
    </w:p>
    <w:p>
      <w:r>
        <w:t>Beschwerdeweise macht der Beschwerdeführer geltend, sein Gesundheitszustand habe sich seit Sommer 2009 erheblich verschlechtert. Er könne auch Arbeiten im Haushalt nur mit Unterbrüchen (hinsetzen) ausüben. Er leide nicht nur an ständigen Rückenschmerzen, sondern auch an immer wiederkehrenden Gichtanfällen, die eine Fortbewegung zur Qual werden liessen. Dr. H._______ führt in seinem Bericht zwar eine Hyperurikämie an, äussert sich im Übrigen aber nicht weiter zu allfälligen Gichtanfällen; solche werden auch bei den subjektiven Beschwerden nicht aufgeführt. Auch den Berichten des Hausarztes lässt sich dazu nichts entnehmen.</w:t>
      </w:r>
    </w:p>
    <w:p>
      <w:r>
        <w:rPr>
          <w:b/>
        </w:rPr>
        <w:t>E. 4.2.5</w:t>
      </w:r>
    </w:p>
    <w:p>
      <w:r>
        <w:t>Der Austrittsbericht der Reha-Klinik E._______ (von Dr. I._______ und K._______) betreffend den Reha-Aufenthalt vom 7. bis 28. Juni 2010 ist im vorliegenden Verfahren insoweit zu berücksichtigen, als sich daraus Hinweise auf den Gesundheitszustand bzw. die Arbeitsfähigkeit bis Verfügungserlass ergeben (vgl. E. 3.1). In diesem Bericht wird die Gicht (wie die Hypertonie und Adipositas) als Risikofaktor genannt, ohne daraus funktionelle Einschränkungen abzuleiten. Die Reha-Ärzte erachten den Beschwerdeführer jedoch nur noch für körperlich leichte Arbeiten als vollschichtig arbeitsfähig. Der Patient könne weder lange stehen noch sitzen, weshalb die Tätigkeit einen Wechsel zwischen sitzen, gehen und stehen ermöglichen sollte, unter Vermeidung längerer Gehstrecken. Schichtbelastungen sollten vermieden werden. Weiter wird ausgeführt, die medizinisch-theoretische Arbeitsfähigkeit dürfte angesichts der Einschränkungen und des Alters des Patienten in der Praxis wohl schwer umsetzbar sein. Angesichts der bestehenden Risikofaktoren müsse zudem mit einer weiteren Progredienz der arteriellen Verschlusskrankheit gerechnet werden, welche zumindest mittelfristig das Leistungsvermögen weiter einschränke, sofern nicht entsprechende therapeutische Möglichkeiten ergriffen würden (act. 16). Ob und gegebenenfalls in welchem Zeitpunkt eine Verschlechterung eingetreten ist, lässt sich dem Bericht nicht entnehmen.</w:t>
      </w:r>
    </w:p>
    <w:p>
      <w:r>
        <w:rPr>
          <w:b/>
        </w:rPr>
        <w:t>E. 4.2.6</w:t>
      </w:r>
    </w:p>
    <w:p>
      <w:r>
        <w:t>Die vorliegenden medizinischen Beurteilungen ergeben somit kein einheitliches Bild. Unklar ist insbesondere, ob auch in einer leidensangepassten Tätigkeit eine quantitative Leistungsbeeinträchtigung besteht und dem Beschwerdeführer nur noch leichte oder - zumindest gelegentlich auch - mittelschwere Arbeiten zumutbar sind.</w:t>
      </w:r>
    </w:p>
    <w:p>
      <w:r>
        <w:rPr>
          <w:b/>
        </w:rPr>
        <w:t>E. 4.3</w:t>
      </w:r>
    </w:p>
    <w:p>
      <w:r>
        <w:t>Die IV-Stelle prüft die Begehren, nimmt die notwendigen Abklä­rungen von Amtes wegen vor und holt die erforderlichen Auskünfte ein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w:t>
      </w:r>
    </w:p>
    <w:p>
      <w:r>
        <w:rPr>
          <w:b/>
        </w:rPr>
        <w:t>E. 4.3.1</w:t>
      </w:r>
    </w:p>
    <w:p>
      <w:r>
        <w:t>Im Beschwerdeverfahren kann auf die Stellungnahmen des RAD abgestellt werden, wenn diese den allgemeinen beweisrechtlichen Anforderungen an einen ärztlichen Bericht genügen. An die Beweiswürdigung sind jedoch strenge Anforderungen zu stellen, wenn allein auf die Beurteilung versicherungsinterner Ärztinnen oder Ärzte abgestellt wird. Bestehen auch nur geringe Zweifel an der Zuverlässigkeit und Schlüssigkeit der versicherungsinternen ärztlichen Feststellungen, so sind ergänzende Abklärungen vorzunehmen (BGE 135 V 465 E. 4.4, Urteil BGer 9C_8/2011 vom 21. Februar 2011 E. 4.1.3 mit Hinweisen, Urteil BGer 8C_245/2011 vom 25. August 2011 E. 5). Für RAD-Berichte, die nicht auf eigener Untersuchung beruhen, ist von besonderer Bedeutung, dass diese in Kenntnis der Vorakten abgegeben wurden, in der Beschreibung der medizinischen Situation und Zusammenhänge einleuchten sowie begründete Schlussfolgerungen enthalten. Zunächst hat der RAD jedoch zu überprüfen, ob die medizinischen Akten ein vollständiges Bild über Anamnese, Verlauf und gegenwärtigen Status ergeben (vgl. zur Beweistauglichkeit eines Aktenberichts Urteil BGer 8C_199/2011 vom 9. August 2011 E. 2 mit Hinweisen, Urteil BGer 8C_653/2009 vom 28. Oktober 2009 E. 5.2, Urteil BGer I 1094/06 vom 14. November 2007 E. 3.1.1). Der Untersuchungsbefund muss lückenlos vorliegen, damit die Bericht erstattende Person imstande ist, sich aufgrund der Unterlagen ein vollständiges Bild zu verschaffen (Urteil BGer 8C_199/2011 vom 9. August 2011 E. 2).</w:t>
      </w:r>
    </w:p>
    <w:p>
      <w:r>
        <w:rPr>
          <w:b/>
        </w:rPr>
        <w:t>E. 4.3.2</w:t>
      </w:r>
    </w:p>
    <w:p>
      <w:r>
        <w:t>Ob die Stellungnahmen des IV-Stellenarztes in beweisrechtlicher Hinsicht einem RAD-Bericht gleichzustellen ist, kann offenbleiben, denn die Berichte von Dr. C._______ genügen den Anforderungen der Rechtsprechung nicht. Im ersten Bericht fehlt insbesondere eine nachvollziehbare Begründung der Beurteilung der Leistungsfähigkeit. In den weiteren, im Vorbescheid- bzw. Beschwerdeverfahren verfassten Stellungnahmen beschränkt sich der IV-Stellenarzt im Wesentlichen auf die Feststellung, die nachgereichten medizinischen Unterlagen änderten nichts an seiner ersten Beurteilung.</w:t>
      </w:r>
    </w:p>
    <w:p>
      <w:r>
        <w:rPr>
          <w:b/>
        </w:rPr>
        <w:t>E. 4.4</w:t>
      </w:r>
    </w:p>
    <w:p>
      <w:r>
        <w:t>Die angefochtene Verfügung beruht aber nicht nur in medizinischer Hinsicht auf einem unvollständig ermittelten Sachverhalt. Steht aufgrund der medizinischen Stellungnahmen fest, inwiefern die versicherte Person in ihren körperlichen oder geistigen Funktionen leidensbedingt eingeschränkt ist, hat die IV-Stelle - allenfalls unter Beizug der Berufsberatung (vgl. Urteil BGer 9C_399/2010 vom 13. Juli 2010 E. 2.2, BGE 107 V 17 E. 2b, SVR 2006 IV Nr. 10 E. 4.1) - die erwerblichen Auswirkungen zu prüfen und den Invaliditätsgrad zu ermitteln. Vorliegend hat die IV-Stelle jedoch keinen Einkommensvergleich vorgenommen. Da der Beschwerdeführer in seiner angestammten Tätigkeit als LKW-Fahrer nicht mehr arbeitsfähig ist und allenfalls auch in einer leidensangepassten Tätigkeit eine Arbeitsunfähigkeit besteht, kann jedenfalls nicht ohne Weiteres ausgeschlossen werden, dass ein Invaliditätsgrad von über 40% resultiert.</w:t>
      </w:r>
    </w:p>
    <w:p>
      <w:r>
        <w:rPr>
          <w:b/>
        </w:rPr>
        <w:t>E. 4.5</w:t>
      </w:r>
    </w:p>
    <w:p>
      <w:r>
        <w:t>Gemäss Art. 61 Abs. 1 VwVG entscheidet die Beschwerdeinstanz in der Sache selbst oder weist diese ausnahmsweise mit verbindlichen Weisungen an die Vorinstanz zurück. Vorliegend wurde der Sachverhalt nicht nur in medizinischer, sondern auch in erwerblicher Hinsicht ungenügend abgeklärt. Gegen eine reformatorische Entscheidung spricht insbesondere das bei der Invaliditätsbemessung der Verwaltung zustehende Ermessen (namentlich beim leidensbedingten Abzug; vgl. BGE 126 V 75 E. 6) und der grundsätzliche Anspruch auf den doppelten Instanzenzug (BGE 125 V 413 E. 2.c, vgl. auch Urteil BGer 8C_949/2008 vom 4. Mai 2009 E. 5.2). Die Sache ist daher an die Vorinstanz zurückzuweisen, damit sie in Zusammenarbeit mit dem RAD prüfe, ob sich die funktionelle Leistungsfähigkeit des Beschwerdeführers - auch unter Berücksichtigung der geklagten Gichtanfälle - aufgrund der vorliegenden medizinischen Unterlagen zuverlässig feststellen lässt. Andernfalls wird sie die erforderlichen Abklärungen veranlassen. Anschliessend wird sie, gestützt auf einen Einkommensvergleich, den Invaliditätsgrad ermitteln und sodann über das Leistungsbegehren neu verfügen. In diesem Sinne ist die Beschwerde gutzuheissen.</w:t>
      </w:r>
    </w:p>
    <w:p>
      <w:r>
        <w:rPr>
          <w:b/>
        </w:rPr>
        <w:t>E. 5</w:t>
      </w:r>
    </w:p>
    <w:p>
      <w:r>
        <w:t>Das Bundesverwaltungsgericht auferlegt gemäss Art. 63 Abs. 1 VwVG die Verfahrenskosten in der Regel der unterliegenden Partei. Eine Rückweisung gilt praxisgemäss als Obsiegen der beschwerdeführenden Partei (BGE 132 V 215 E. 6). Das Gesuch um Befreiung von den Verfahrenskosten ist damit gegenstandslos geworden. Der Vorinstanz werden keine Verfahrenskosten auferlegt (Art. 63 Abs. 2 VwVG). Dem nicht anwaltlich vertretenen Beschwerdeführer sind keine verhältnismässig hohen Kosten entstanden, weshalb ihm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