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C-1742/2012 vom 21. September 2012</w:t>
      </w:r>
    </w:p>
    <w:p>
      <w:r>
        <w:t>Bundesverwaltungsgericht, 2012-09-21, FR</w:t>
      </w:r>
    </w:p>
    <w:p>
      <w:r>
        <w:rPr>
          <w:b/>
        </w:rPr>
        <w:t xml:space="preserve">Quelle: </w:t>
      </w:r>
      <w:r>
        <w:t>https://mcp.opencaselaw.ch/entscheid/bvger_C-1742_2012</w:t>
      </w:r>
    </w:p>
    <w:p>
      <w:r>
        <w:t>FR: TAF C-1742/2012 du 21 septembre 2012</w:t>
      </w:r>
    </w:p>
    <w:p>
      <w:r>
        <w:t>IT: TAF C-1742/2012 del 21 settembre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qu'il a participé à la procédure devant l'ODM, qu'en tant qu'hôte, il est spécialement atteint par la décision attaquée et qu'enfin, il a un intérêt digne de protection à son annulation, en particulier dès lors que son intérêt à pouvoir accueillir l'invitée demeure actuel.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2011/1 consid. 2 p. 4).</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p. 4).</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thaïlandaise, B._______ est soumise à l'obligation du visa.</w:t>
      </w:r>
    </w:p>
    <w:p>
      <w:r>
        <w:rPr>
          <w:b/>
        </w:rPr>
        <w:t>E. 5.1</w:t>
      </w:r>
    </w:p>
    <w:p>
      <w:r>
        <w:t>Dans la décision querellée, l'ODM a refusé d'autoriser l'entrée en Suisse de B._______ au motif que son départ à l'échéance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5.3</w:t>
      </w:r>
    </w:p>
    <w:p>
      <w:r>
        <w:t>In casu, le Tribunal ne saurait d'emblée écarter les craintes émises par l'autorité intimée, notamment au vu de la situation qui prévaut en Thaïlande sur le plan social et économique. A ce propos, il convient notamment de prendre en considération les conditions économiques et sociales difficiles que connaît l'ensemble de la population thaïlandaise. S'agissant de la situation économique, le Tribunal constate que le produit intérieur brut (PIB) par habitant en 2011 s'élevait à environ USD 5'400.- pour la Thaïlande et à environ USD 81'200.- pour la Suisse (voir le site internet du Fonds monétaire international : www.imf.org &gt; Data and Statistics &gt; World Economic Outlook Databases (WEO) &gt; World Economic Outlook Databases april 2012 &gt; By Countries (country-level data) &gt; All countries, consulté en août 2012). En outre, l'indice de développement humain (IDH) 2011, qui prend en compte la santé, l'éducation et le niveau de vie, classe la Thaïlande en 103ième position sur 187 pays, et la Suisse en 11ième position, pour la même année (voir le site internet des rapports sur le développement humain du Programme des Nations Unies pour le développement [HDR UNDP] : http//hdr.undp.org &gt; Human development index 2011, consulté en août 2012).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en la personne du recourant.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 l'intéressée plaide en faveur de sa sortie ponctuelle de Suisse, respectivement de l'Espace Schengen, au terme du séjour envisagé.</w:t>
      </w:r>
    </w:p>
    <w:p>
      <w:r>
        <w:rPr>
          <w:b/>
        </w:rPr>
        <w:t>E. 6.1</w:t>
      </w:r>
    </w:p>
    <w:p>
      <w:r>
        <w:t>Dans le cas d'espèce, B._______ est célibataire et mère de deux enfants, qui, selon les affirmations de l'hôte en Suisse, sont toutefois sous la garde exclusive de leur père et scolarisés dans une autre ville que celle où est domiciliée leur mère. Il ne ressort pas des pièces du dossier que la prénommée verrait ses enfants très régulièrement ou qu'elle disposerait d'autres responsabilités familiales susceptibles de l'inciter à retourner dans son pays d'origine au terme du séjour envisagé. S'agissant de la situation professionnelle de la prénommée, il apparaît qu'elle loue des petites maisons à des touristes à Phuket. Cela étant, aucun élément du dossier ne permet de considérer que cette activité et le revenu y relatif constituent des attaches professionnelles étroites susceptibles de décourager B._______ de tenter de se créer une nouvelle existence hors de sa patrie, d'autant moins que l'intéressée peut envisager de quitter son pays d'origine durant trois mois. A ce propos d'ailleurs, B._______ a produit, à l'appui de la demande de visa, un relevé de son compte bancaire faisant état des mouvements entre fin juillet et fin décembre 2011. Durant cette période, le solde maximal s'élevait à THB 56'000.- (environ CHF 1'700.-), le solde moyen étant toutefois clairement inférieur. Par ailleurs, le solde du compte bancaire au 24 décembre 2011, à savoir le dernier solde figurant sur le relevé, s'élevait à THB 1200.- (environ CHF 37.-). Les revenus que la prénommée tire de son activité professionnelle ne sont donc pas d'une ampleur telle qu'ils la dissuaderaient de quitter son pays pour s'établir en Suisse ou dans l'Espace Schengen. Par ailleurs, dans son ensemble, la situation patrimoniale de la prénommée n'est pas à ce point stable qu'elle permettrait de tenir le départ de l'intéressée de Suisse à l'échéance du visa sollicité pour assuré. Dans ces conditions, force est de conclure que B._______ serait à même de se créer une nouvelle existence hors de sa patrie, sans que cela ne lui cause des difficultés majeures sur les plans personnel, professionnel et familial.</w:t>
      </w:r>
    </w:p>
    <w:p>
      <w:r>
        <w:rPr>
          <w:b/>
        </w:rPr>
        <w:t>E. 6.2</w:t>
      </w:r>
    </w:p>
    <w:p>
      <w:r>
        <w:t>Certes, il convient de tenir compte du fait que l'intéressée a respecté les termes des visas Schengen qu'elle a obtenus de la part des autorités néerlandaises et danoises en 2008, respectivement en 2010. Cependant, il importe de noter que chaque demande fait l'objet d'un examen individuel et actualisé (cf. arrêt du Tribunal administratif fédéral C-853/2010 du 12 juillet 2010 consid. 7.4 et jurisprudence citée) et qu'en l'espèce, la situation personnelle et professionnelle de B._______ ainsi que les incertitudes relatives au but de son séjour en Suisse ne permettent pas de lui délivrer un visa. En effet, plusieurs éléments du dossier objet de la présente cause contribuent à jeter des doutes sur les intentions réelles de l'intéressée. Le Tribunal constate tout d'abord qu'en 2005, B._______ avait déposé une demande de visa afin de venir rendre visite à son compagnon en Suisse durant trois mois. Lors de l'entretien au guichet concernant la requête actuelle, elle ne se souvenait toutefois plus du nom de son ami de l'époque, ni de la manière selon laquelle elle l'avait connu. Pour le surplus, ainsi que cela ressort des informations communiquées par la représentation de Suisse à Bangkok lors de la transmission à l'ODM de la demande de visa, la prénommée n'a pas été en mesure, au moment du dépôt de sa requête auprès de ladite représentation, de donner les précisions souhaitées au sujet de son hôte actuel en Suisse; elle a déclaré qu'il était un ami qu'elle avait rencontré, par l'intermédiaire d'un ami commun, en 2010 pendant deux jours et qu'elle l'avait revu durant deux semaines en décembre 2011. Cela étant, elle ne savait pas s'il était marié, ni quelle était sa profession. La volonté exprimée par B._______ de rendre visite, durant trois mois, à une personne qu'elle ne connaît en définitive guère amène le Tribunal à retenir que les doutes de l'ODM quant aux intentions réelles de l'intéressée sont fondés. Tenant compte des éléments qui précèdent, ainsi que du fait qu'au regard de sa situation familiale et professionnelle, la prénommée serait parfaitement en mesure de prolonger son séjour sur le territoire helvétique à l'échéance de son visa, voire d'envisager une nouvelle existence dans ce pays, le Tribunal de céans ne saurait reprocher à l'ODM d'avoir confirmé le refus d'autorisation d'entrée malgré les séjours précédents de B._______ dans l'Espace Schengen.</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8</w:t>
      </w:r>
    </w:p>
    <w:p>
      <w:r>
        <w:t>Compte tenu des considérants exposés ci-dessus, le Tribunal estime qu'il ne saurait être reproché à l'ODM d'avoir refusé la délivrance d'une autorisation d'entrée dans l'Espace Schengen en faveur de B._______. Il s'ensuit que, par sa décision du 19 mars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