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C-1739/2012 vom 24. Februar 2014</w:t>
      </w:r>
    </w:p>
    <w:p>
      <w:r>
        <w:t>Bundesverwaltungsgericht, 2014-02-24, DE</w:t>
      </w:r>
    </w:p>
    <w:p>
      <w:r>
        <w:rPr>
          <w:b/>
        </w:rPr>
        <w:t xml:space="preserve">Quelle: </w:t>
      </w:r>
      <w:r>
        <w:t>https://mcp.opencaselaw.ch/entscheid/bvger_C-1739_2012</w:t>
      </w:r>
    </w:p>
    <w:p>
      <w:r>
        <w:t>FR: TAF C-1739/2012 du 24 février 2014</w:t>
      </w:r>
    </w:p>
    <w:p>
      <w:r>
        <w:t>IT: TAF C-1739/2012 del 24 febbraio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Art. 48 Abs. 1 VwVG legt fest, dass zur Erhebung einer Beschwerde berechtigt ist, wer vor der Vorinstanz am Verfahren teilgenommen hat oder keine Möglichkeit zur Teilnahme erhalten hat (Bst. a), wer durch die angefochtene Verfügung besonders berührt ist (Bst. b) und wer ein schutzwürdiges Interesse an deren Aufhebung oder Änderung hat (Bst. c).</w:t>
      </w:r>
    </w:p>
    <w:p>
      <w:r>
        <w:rPr>
          <w:b/>
        </w:rPr>
        <w:t>E. 1.4</w:t>
      </w:r>
    </w:p>
    <w:p>
      <w:r>
        <w:t>Als erste Voraussetzung nennt Art. 48 Abs. 1 Bst. a VwVG die sog. formelle Beschwer. Dies bedeutet, dass die beschwerdeführende Person am vorinstanzlichen Verfahren teilgenommen haben muss, soweit sie dazu in der Lage war, und sie mit ihren Anträgen ganz oder teilweise unterlegen ist (vgl. Vera Marantelli-Sonanini/Said Huber, in: Waldmann/Weissenberger [Hrsg.], Praxiskommentar VwVG, Zürich 2009, Art. 48 N 22; Isabelle Häner, in: Auer/Müller/Schindler [Hrsg.], Kommentar zum Bundesgesetz über das Verwaltungsverfahren [VwVG], Zürich 2008, Rz. 6 zu Art. 48).</w:t>
      </w:r>
    </w:p>
    <w:p>
      <w:r>
        <w:rPr>
          <w:b/>
        </w:rPr>
        <w:t>E. 1.5</w:t>
      </w:r>
    </w:p>
    <w:p>
      <w:r>
        <w:t>Vorliegend ist diese Voraussetzung nur bei der Beschwerdeführerin - nicht jedoch bei ihrem Ehemann - erfüllt, welche am 16. Januar 2012 allein Einsprache gegen ihren durch die Schweizerische Botschaft in Ankara abgelehnten Visumsantrag erhoben hat (vgl. Urteil des Bundesverwaltungsgerichts C-6305/2011 vom 10. April 2013 E. 1.3 und 1.4 mit Hinweis). Da die übrigen formellen Voraussetzungen erfüllt sind (vgl. Art. 48 Abs. 1 Bst. b und c VwVG, Art. 50 und 52 VwVG), ist auf die Beschwerde, soweit die Beschwerdeführerin betreffend, einzutreten. Soweit in der Rechtsmitteleingabe um Erteilung einer Einreisebewilligung auch für ihren Ehemann ersucht wird, erweist sich das Rechtsmittel als unzulässig (vgl. Bst. E. des Sachverhalts).</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und BVGE 2011/1 E. 2).</w:t>
      </w:r>
    </w:p>
    <w:p>
      <w:r>
        <w:rPr>
          <w:b/>
        </w:rPr>
        <w:t>E. 3</w:t>
      </w:r>
    </w:p>
    <w:p>
      <w:r>
        <w:t>Der angefochtenen Verfügung liegt das Gesuch einer türkischen Staatsangehörigen um Erteilung eines Visums für einen dreiwöchigen Aufenthalt in der Schweiz zugrunde. Da sich die Beschwerdeführerin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Egli/Tobias D. Meyer, in: Caroni/Gächter/Thurn­herr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die Beschwerdeführerin als türkische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Beschwerdeführerin anzweifelt. Dazu lassen sich in der Regel keine gesicherten Feststellungen, sondern lediglich Prognosen treffen. Dabei sind sämtliche Umstände des konkreten Einzelfalles zu würdigen.</w:t>
      </w:r>
    </w:p>
    <w:p>
      <w:r>
        <w:rPr>
          <w:b/>
        </w:rPr>
        <w:t>E. 5.3</w:t>
      </w:r>
    </w:p>
    <w:p>
      <w:r>
        <w:t>Vorliegend ist zu prüfen, ob die Vorinstanz unter Berücksichtigung der Verhältnisse im Herkunftsland und der persönlichen Lebensumstände einen ermessensfehlerfreien Entscheid getroffen hat. Dabei rechtfertigt es sich, Einreisegesuchen von Personen aus Staaten mit politisch und/oder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5.4</w:t>
      </w:r>
    </w:p>
    <w:p>
      <w:r>
        <w:t>In der Türkei sind auch heute noch breite Bevölkerungsschichten von vergleichsweise schwierigen wirtschaftlichen und sozialen Lebensbedingungen betroffen. Nach den Wachstumsschüben der Vorjahre hat die türkische Wirtschaftsentwicklung im Jahr 2012 deutlich an Kraft verloren. Im Zuge der konjunkturellen Abkühlung hat die türkische Regierung ihre ursprüngliche Wachstumserwartung für das Gesamtjahr 2013 von 4% auf 3,6% gesenkt. Das Pro-Kopf-Einkommen stieg im Jahr 2012 geringfügig auf 10'504 USD, wobei für Ende 2013 ein Anstieg des Pro-Kopf-Einkommens auf 10'818 USD erwartet wurde. Die Inflation (Verbraucherpreise), die im Jahr 2011 noch auf 10,5% angestiegen war, konnte Ende 2012 auf 6,5% gesenkt werden. Insgesamt bleibt die Arbeitslosigkeit, insbesondere die Jugendarbeitslosigkeit, ein gravierendes Problem. Aus der überwiegend jungen Bevölkerung drängen jährlich mehr als eine halbe Million Arbeitssuchende auf den Arbeitsmarkt und können dort nicht absorbiert werden. Hinzu kommt das starke Gefälle zwischen strukturschwachen ländlichen Gebieten (etwa im Osten und Südosten) und den wirtschaftlich prosperierenden Metropolen. Auf der Suche nach Arbeit und besseren Lebensbedingungen wandert die ländliche Bevölkerung weiterhin in die Städte und industriellen Zentren ab. Die durchschnittliche Arbeitslosenquote lag im Jahr 2012 bei 9,2% und ist damit im Vergleich zum Vorjahr weiter gesunken. Der überwiegende Teil der in Industrie, Landwirtschaft und Handwerk erwerbstätigen Arbeiter bezieht weiterhin den offiziellen Mindestlohn, welcher für das zweite Halbjahr 2013 auf 1'021 Türkische Lira (ca. Fr. 410.-) festgesetzt wurde. Die Entwicklung der Realeinkommen hat mit der Wirtschaftsentwicklung nicht Schritt halten können, so dass insbesondere die unteren Bevölkerungsschichten am Rande des Existenzminimums leben (Quelle: Deutsches Auswärtiges Amt, im Internet unter: www.auswaertiges-amt.de &gt; Reise und Sicherheit &gt; Reise- und Sicherheitshinweise: Länder A-Z &gt; Türkei &gt; Wirtschaft; Stand: November 2013; Seite besucht im Januar 2014; vgl. auch Urteil des Bundesverwaltungsgerichts C-1055/2012 vom 9. Dezember 2013 E. 6.4). Vor dem aufgezeigten wirtschaftlichen Hintergrund ist - vor allem bei jüngeren und ungebundenen Personen - gemeinhin ein starker Migrationsdruck festzustellen. Insbesondere Nordamerika und Europa gelten als Wunschdestinationen von Menschen im erwerbsfähigen Alter, die auf ein in wirtschaftlicher Hinsicht besseres Leben hoffen. Die Tendenz zur Auswanderung zeigt sich erfahrungsgemäss besonders stark bei Personen, die hier bereits über minimale soziale Kontakte verfügen. In Anbetracht der erwähnten, für breite Bevölkerungsschichten nach wie vor vergleichsweise schwierigen wirtschaftlichen und sozialen Lebensbedingungen in der Türkei,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Allerdings wäre es zu schematisch und nicht halt­bar, generell und ohne spezifische Anhaltspunkte aus­schliesslich auf­grund der all­gemeinen Lage in der Herkunftsregion auf eine nicht hin­reichend ge­sicherte Wiederausreise zu schliessen. Es gilt somit, über die Situation im Herkunftsland hinaus, ebenfalls die weiteren Umstände des Einzel­falles zu würdigen. Namentlich können berufliche, gesell­schaftliche oder familiäre Verpflichtungen die Prognose einer an­standslosen Wiederausreise begünstigen.</w:t>
      </w:r>
    </w:p>
    <w:p>
      <w:r>
        <w:rPr>
          <w:b/>
        </w:rPr>
        <w:t>E. 6.1</w:t>
      </w:r>
    </w:p>
    <w:p>
      <w:r>
        <w:t>Vorab ist festzuhalten, dass sich das BFM weder in der angefochtenen Verfügung noch in seiner Vernehmlassung ausführlich mit den persönlichen Verhältnissen der Beschwerdeführerin auseinandergesetzt hat. Als unbehelflich und überholt erweist sich insbesondere der vorinstanzliche Einwand (vgl. die Stellungnahme vom 6. Juli 2012), wonach die Beschwerdeführerin keine familiären Verpflichtungen im Heimatland mehr wahrzunehmen hätte, wenn sie zusammen mit Ehemann und (minderjähriger) Tochter ihre Angehörigen in der Schweiz besuchen würde. Dies, nachdem das Bundesverwaltungsgericht in seiner Instruktionsverfügung vom 30. April 2012 explizit festgehalten hatte, die Beschwerde könne sich nur auf die Beschwerdeführerin alleine beziehen; das Begehren, auch dem Ehemann ein Einreisevisum zu erteilen, erweise sich als unzulässig (vgl. Bst. E. des Sachverhalts).</w:t>
      </w:r>
    </w:p>
    <w:p>
      <w:r>
        <w:rPr>
          <w:b/>
        </w:rPr>
        <w:t>E. 6.2</w:t>
      </w:r>
    </w:p>
    <w:p>
      <w:r>
        <w:t>Bei der Beschwerdeführerin handelt es sich um eine mittlerweile 36 jährige, verheiratete Frau und Mutter von zwei Kindern im Alter von fünf und zehn Jahren, welche in Diyarbakir, der zehntgrössten türkischen Stadt, lebt. Soweit ersichtlich, leben weitere Geschwister der Beschwerdeführerin in derselben Region. Diese Gegebenheiten sprechen für eine intakte soziale Struktur und einen engen familiären Bezug zum Heimatland. Insbesondere der Umstand, dass die Beschwerdeführerin für die Dauer des beabsichtigten (drei- oder vierwöchigen) Aufenthaltes in der Schweiz ihre nächsten Angehörigen (Ehemann, zwei Kinder) in der Türkei zurücklassen würde, lässt auf persönliche Verpflichtungen und daraus auf eine gewisse Verwurzelung schliessen, was die Gefahr einer Emigration im Vergleich zu jüngeren und ungebundenen Landsleuten relativiert.</w:t>
      </w:r>
    </w:p>
    <w:p>
      <w:r>
        <w:rPr>
          <w:b/>
        </w:rPr>
        <w:t>E. 6.3</w:t>
      </w:r>
    </w:p>
    <w:p>
      <w:r>
        <w:t>Soweit die Vorinstanz auf die hohe Arbeitslosigkeit (unter der erwerbsfähigen Bevölkerung) in der Heimatregion verweist, gilt es festzuhalten, dass die Beschwerdeführerin als Hausfrau ohnehin keiner Erwerbstätigkeit nachgeht. Im Berufsleben verankert ist hingegen ihr Ehemann, welcher gemäss den Angaben im Einreisegesuch sowie in der Stellungnahme des Gastgebers in einem Spital in Diyarbakir angestellt sein soll. Anzunehmen ist, dass die Betroffenen gegebenenfalls auch auf die finanzielle Unterstützung ihrer in der Schweiz lebenden Angehörigen zählen könnten. Aufgrund der Aktenlage ist demnach davon auszugehen, dass die Beschwerdeführerin und ihr Ehemann über eine relativ gesicherte wirtschaftliche Existenz in ihrem Heimatland verfügen, die geeignet ist, das Risiko einer nicht fristgerechten Wiederausreise nach einem Besuchsaufenthalt in der Schweiz entscheidend herabsetzen.</w:t>
      </w:r>
    </w:p>
    <w:p>
      <w:r>
        <w:rPr>
          <w:b/>
        </w:rPr>
        <w:t>E. 6.4</w:t>
      </w:r>
    </w:p>
    <w:p>
      <w:r>
        <w:t>Insgesamt betrachtet verfügt die Beschwerdeführerin somit durchaus über eine massgebliche familiäre wie auch wirtschaftliche Verankerung in der Türkei, wofür auch die eher massvolle Dauer des geplanten Besuchsaufenthalts von höchstens einem Monat spricht. Die Vorinstanz hat es jedoch sowohl vor Erlass ihrer Verfügung wie auch im Rahmen des Vernehmlassungsverfahrens unterlassen, den dargestellten Sachverhalt eingehend zu prüfen. Vielmehr hebt sie hervor, zwei Brüder sowie die Eltern der Beschwerdeführerin lebten schon in der Schweiz. Zudem habe ihr Vater, nachdem ihm hierzulande Asyl gewährt worden sei, beim damaligen Bundesamt für Flüchtlinge (BFF) um Familienzusammenführung ersucht. Aus den beigezogenen Asylakten geht hervor, dass das BFF am 21. Juni 2002 die Einreisebewilligung für dessen Ehefrau sowie den damals minderjährigen Sohn E._______ erteilt, bezüglich seiner damals bereits volljährigen weiteren Kinder - darunter die Beschwerdeführerin - jedoch die Einreise verweigert und ihr Asylgesuch zwecks Familienvereinigung abgewiesen hat. Eine dagegen erhobene Beschwerde wurde von der damaligen Schweizerischen Asylrekurskommission (ARK) abgewiesen, unter anderem mit dem Argument, die Betroffenen hätten keine persönlichen Asylgründe vorgebracht. Die von der Vorinstanz aufgeführte Gefahr weiterer Zuwanderungen von Familienmitgliedern vermag schon deshalb nicht zu überzeugen, weil das erwähnte Gesuch um Familienzusammenführung einerseits länger als zehn Jahre zurückliegt. Im fraglichen Jahr (2002) befanden sich immerhin noch 3989 Personen aus der Türkei in der Schweiz im Asylprozess. Seitdem ist die Anzahl der Asylsuchenden aus diesem Land stetig zurückgegangen, wobei im letzten Jahr noch 437 Personen (2002: 1958 Personen) hierzulande ein Asylgesuch gestellt haben (vgl. Asylstatistiken 2002 bis 2013 des BFM, im Internet unter: www.bfm.admin.ch Dokumentation Zahlen und Fakten Asylstatistik Jahresstatistiken). Anderseits hätte die Beschwerdeführerin mit einer Ausreise aus dem Heimatland wohl kaum ein Jahrzehnt oder noch länger zugewartet, wäre sie dort ebenfalls - wie ihr Vater - politisch verfolgt. Sowohl ihre Mutter als auch ihr Bruder E._______ - im Jahre 2004 in die Flüchtlingseigenschaft des Ehemannes bzw. Vaters einbezogen - haben inzwischen ausdrücklich auf ihre Flüchtlingseigenschaft und das ihnen in der Schweiz gewährte Asyl verzichtet mit der Begründung, politisch gesehen bestehe für sie in ihrem Herkunftsland keine Gefahr mehr. Bleibt schliesslich festzuhalten, dass sich die persönlichen Verhältnisse der Beschwerdeführerin - mittlerweile verheiratet und Mutter von zwei minderjährigen Kindern - seither wesentlich verändert haben (vgl. auch Urteile des Bundesverwaltungsgerichts C 4919/2012 vom 18. Januar 2013 E. 6.4 sowie C-468/2011 vom 15. November 2011 E. 8.3).</w:t>
      </w:r>
    </w:p>
    <w:p>
      <w:r>
        <w:rPr>
          <w:b/>
        </w:rPr>
        <w:t>E. 6.5</w:t>
      </w:r>
    </w:p>
    <w:p>
      <w:r>
        <w:t>Im Weitern gilt es festzuhalten, dass im vorliegenden Fall keine Zweifel am deklarierten Aufenthaltszweck (Besuchsaufenthalt; vgl. Art. 16 i.V.m. Art. 12 Abs. 2 Bst. c in fine VEV) bestehen, hat doch die Beschwerdeführerin ihren Vater, der als anerkannter Flüchtling seine Angehörigen nicht im Heimatland besuchen darf, seit rund dreizehn Jahren nicht mehr gesehen. Die Interessen der Beschwerdeführerin sowie der Familienangehörigen in der Schweiz am geplanten Besuchsaufenthalt liegen auf der Hand und sind durchaus als gewichtig anzusehen. Demgegenüber sind keine überwiegenden öffentlichen Interessen ersichtlich, die für eine Aufrechterhaltung der Einreiseverweigerung sprächen.</w:t>
      </w:r>
    </w:p>
    <w:p>
      <w:r>
        <w:rPr>
          <w:b/>
        </w:rPr>
        <w:t>E. 7</w:t>
      </w:r>
    </w:p>
    <w:p>
      <w:r>
        <w:t>Aus vorstehenden Erwägungen ergibt sich, dass in casu keine Hinderungsgründe im Sinne von Art. 5 SGK bzw. Art. 5 AuG erkennbar sind. Demzufolge ist festzu­stellen, dass die ange­fochtene Verfügung den rechtserheblichen Sach­verhalt unrichtig respektive unvollständig festhält und in fehler­hafter Aus­übung des Er­messens ergangen ist (Art. 49 Bst. a und b VwVG). Die Be­schwerde ist daher gutzuheissen, die angefochtene Verfügung auf­zuheben und die Sache zur neuerlichen Beurteilung an die Vorinstanz zurückzuweisen. Dabei ist vom BFM abzuklären, ob die in Art. 2 Abs. 1 VEV genannten Einreisevoraussetzungen gemäss Schengener Grenz­kodex erfüllt sind oder allenfalls gemäss Art. 2 Abs. 4 VEV aus huma­nitären Gründen ein Visum mit räumlich beschränkter Gültigkeit zu er­teilen ist.</w:t>
      </w:r>
    </w:p>
    <w:p>
      <w:r>
        <w:rPr>
          <w:b/>
        </w:rPr>
        <w:t>E. 8</w:t>
      </w:r>
    </w:p>
    <w:p>
      <w:r>
        <w:t>Bei diesem Ausgang des Verfahrens sind keine Kosten aufzuerlegen (Art. 63 Abs. 1 und 2 VwVG), womit das Gesuch um Gewährung der unentgeltlichen Rechtspflege gegenstandslos geworden ist. Ferner ist der obsiegenden Beschwerdeführerin gestützt auf Art. 64 Abs. 1 VwVG i.V.m. Art. 7 und Art. 10 Abs. 2 (nichtanwaltliche Vertretung) des Reglements vom 21. Februar 2008 über die Kosten und Entschädigungen vor dem Bundesverwaltungsgericht (VGKE, SR 173.320.2) zu Lasten der Vorinstanz eine angemessene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