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C-1710/2013 vom 16. Oktober 2013</w:t>
      </w:r>
    </w:p>
    <w:p>
      <w:r>
        <w:t>Bundesverwaltungsgericht, 2013-10-16, FR</w:t>
      </w:r>
    </w:p>
    <w:p>
      <w:r>
        <w:rPr>
          <w:b/>
        </w:rPr>
        <w:t xml:space="preserve">Quelle: </w:t>
      </w:r>
      <w:r>
        <w:t>https://mcp.opencaselaw.ch/entscheid/bvger_C-1710_2013</w:t>
      </w:r>
    </w:p>
    <w:p>
      <w:r>
        <w:t>FR: TAF C-1710/2013 du 16 octobre 2013</w:t>
      </w:r>
    </w:p>
    <w:p>
      <w:r>
        <w:t>IT: TAF C-1710/2013 del 16 ottobre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 recours devant le Tribunal est régie par la PA (cf. art. 37 LTAF).</w:t>
      </w:r>
    </w:p>
    <w:p>
      <w:r>
        <w:rPr>
          <w:b/>
        </w:rPr>
        <w:t>E. 1.3</w:t>
      </w:r>
    </w:p>
    <w:p>
      <w:r>
        <w:t>A._______ et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a statué comme autorité de recours (cf. art. 49 PA). Dans la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 ATAF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 6174/2012 du 5 août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le loi sur les étrangers, FF 2002 3469, spéc. 3531 ;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ressortissante thaïlandaise, l'intéressée est soumise à l'obligation du visa.</w:t>
      </w:r>
    </w:p>
    <w:p>
      <w:r>
        <w:rPr>
          <w:b/>
        </w:rPr>
        <w:t>E. 5</w:t>
      </w:r>
    </w:p>
    <w:p>
      <w:r>
        <w:t>Dans la décision querellée, l'ODM a refusé l'autorisation d'entrée en Suisse de C._______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en Thaïlande sur le plan social et économique. Malgré une croissance économique de 4.5 % en 2012, plus de 10 % de la population thaïlandaise vit sous le seuil de pauvreté (voir respectivement le site internet du Ministère français des affaires étrangères : www.diplomatie.gouv.fr &gt; Dossiers pays &gt; Thaïlande &gt; Présentation, mis à jour le 9 août 2013, consulté en septembre 2013 et le site internet de la Banque mondiale : www.banquemondiale.org &gt; Données &gt; Par pays &gt; Thaïlande, consulté en septembre 2013). En outre, le produit intérieur brut par habitant, en 2011, s'élevait à environ 5'400 dollars US pour la Thaïlande et à environ 83'000 dollars US pour la Suisse (voir le site du Fonds monétaire international : www.imf.org &gt; Data and Statistics &gt; World Economic Outlook Databases (WEO) &gt; World Economic Outlook Databases april 2013 &gt; By Countries (coutry-level data) &gt; All countries, consulté en septembre 2013). Par ailleurs, l'indice de développement humain (IDH) 2012, qui prend en compte la santé, l'éducation et le niveau de vie, classe la Thaïlande au 103ème rang, sur 187 pays, et la Suisse en 9ème position, pour la même année (voir le site internet des rapports sur le développement humain du Programme des Nations Unies pour le développement [HDR UNDP] : www.hdr.undp.org &gt; Indices &amp; Données, consulté en septembre 2013).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en la personne de la demi-soeur de C._______ et du mari de celle-ci.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Il ressort des pièces du dossier que C._______, âgée de vingt-huit ans, n'a pas d'attaches familiales étroites en Thaïlande. Elle est célibataire et n'a ni enfant ni parent à charge.</w:t>
      </w:r>
    </w:p>
    <w:p>
      <w:r>
        <w:rPr>
          <w:b/>
        </w:rPr>
        <w:t>E. 6.2</w:t>
      </w:r>
    </w:p>
    <w:p>
      <w:r>
        <w:t>Quant à la situation professionnelle et financière de C._______, le Tribunal constate ce qui suit. Dans le formulaire de demande de visa déposé auprès de la représentation de Suisse à Bangkok le 12 novembre 2012, la prénommée a indiqué être sans emploi. En revanche, aux termes de l'écrit que les recourants ont adressé à l'Ambassade précitée le 12 octobre 2012 et de leur opposition du 24 novembre 2012, l'intéressée était employée en qualité de secrétaire auprès d'un cabinet vétérinaire et souhaitait profiter "d'une pause dans son travail pour venir visiter la Suisse (...) avant de reprendre son travail en Thaïlande". A l'appui de leur pourvoi, les recourants ont produit un certificat de travail, attestant que C._______ était employée par la société Z._______ du 1er février 2009 au 15 juillet 2012, en précisant que la prénommée s'était inscrite à l'Université Y._______ pour y effectuer une formation en management. La procédure de visa ayant duré plusieurs mois, l'intéressée a décidé de recommencer à travailler et a trouvé un emploi auprès de la société W._______ en janvier 2013, où elle perçoit un salaire mensuel de 9'900 baths thaïlandais. Au vu des éléments qui précèdent, il convient de noter que C._______ et les recourants ont fait des déclarations contradictoires s'agissant de la situation professionnelle de l'intéressée, ce qui amène le Tribunal à douter de l'activité professionnelle réelle de cette dernière dans son pays d'origine et ainsi de la solidité effective des liens avancés avec sa patrie. En outre, même si l'on admettait que l'intéressée dispose d'un emploi stable qui lui procure un revenu lui permettant de vivre confortablement dans son pays d'origine, dans la mesure où son salaire mensuel de 9'900 baths thaïlandais (environ 290 francs) est supérieur au revenu moyen en Thaïlande (7'730 baths thaïlandais, soit environ 230 francs, cf. à ce sujet le site internet www.lemoci.com &gt; Pays et marchés &gt; Thaïlande &gt; législation du travail, consulté en septembre 2013), cet élément ne saurait suffire pour considérer que l'intéressée bénéficie, dans son pays d'origine, d'attaches professionnelles suffisamment importantes pour tenir sa sortie ponctuelle de Suisse pour assurée. Son inscription à l'Université Y._______ ne permet pas non plus de garantir son retour en Thaïlande, puisqu'il s'agit d'une université d'enseignement à distance (cf. site internet de l'Université, (...), consulté en septembre 2013).</w:t>
      </w:r>
    </w:p>
    <w:p>
      <w:r>
        <w:rPr>
          <w:b/>
        </w:rPr>
        <w:t>E. 6.3</w:t>
      </w:r>
    </w:p>
    <w:p>
      <w:r>
        <w:t>Enfin, une réduction de la durée du visa requis telle que demandée subsidiairement par les recourants ne saurait modifier cette appréciation. Un séjour plus court en Suisse ne permet en effet pas de considérer le retour de l'intéressée dans son pays d'origine comme suffisamment garanti.</w:t>
      </w:r>
    </w:p>
    <w:p>
      <w:r>
        <w:rPr>
          <w:b/>
        </w:rPr>
        <w:t>E. 6.4</w:t>
      </w:r>
    </w:p>
    <w:p>
      <w:r>
        <w:t>Tenant compte des éléments qui précèdent, le Tribunal ne saurait retenir que l'intéressée ne serait pas en mesure de prolonger son séjour sur le territoire helvétique à l'échéance de son visa, voire d'envisager une nouvelle existence dans ce pays et ne saurait dès lors reprocher à l'ODM d'avoir confirmé le refus d'autorisation d'entrée dans l'Espace Schengen.</w:t>
      </w:r>
    </w:p>
    <w:p>
      <w:r>
        <w:rPr>
          <w:b/>
        </w:rPr>
        <w:t>E. 7</w:t>
      </w:r>
    </w:p>
    <w:p>
      <w:r>
        <w:t>Le Tribunal relève par ailleurs que le désir exprimé par les recourants, au demeurant parfaitement compréhensible, d'accueillir la demi-soeur de B._______ en Suisse, ne constitue pas à lui seul un motif justifiant l'octroi d'un visa, à propos duquel la requérante ne saurait se prévaloir d'aucun droit (cf. consid. 3). Certes, il peut, du moins à première vue, sembler sévère de refuser à une personne l'autorisation d'entrer dans un pays où réside un membre de sa famille. Il convient toutefois de noter que cette situation ne diffère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comme ils l'ont par ailleurs déjà fait par le passé.</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 de fournir la preuve du retour de l'intéressée au moyen d'une copie du visa avec le tampon de sortie,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4.4 ci-avant). Dans ce contexte, il convient de relever que le refus d'autorisation d'entrée prononcé à l'endroit de C._______ ne constitue pas une ingérence inadmissible dans l'exercice du droit au respect de la vie privée et familiale consacré par l'art. 8 de la Convention du 4 novembre 1950 de sauvegarde des droits de l'homme et des libertés fondamentales (CEDH, RS 0.101).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 voir également l'ATAF 2007/45 consid. 5.3]). Le cercle des bénéficiaires de cette disposition ne se limite cependant pas à ces seules personnes, d'autres liens de parenté, soit pas exemple les relations entre grands-parents et petits-enfants, entre oncles/tantes et neveux/nièces sont également protégés, pour autant que les personnes concernées entretiennent une relation suffisamment étroite, intacte et réellement vécue (cf. ATF 135 I 143 consid. 3.1, 120 Ib 257 consid. 1d ; voir également les arrêts du Tribunal fédéral 2C_50/2012 du 28 septembre 2012 consid. 5.3 et 2C_56/2012 du 24 septembre 2012 consid. 5.4.1, ainsi que l'arrêt du Tribunal administratif fédéral C 4852/2011 du 20 mars 2013 consid. 7.2.1 et les références citées). Cela étant, il n'y a pas d'atteinte à la vie familiale si l'on peut attendre des membres de la famille qu'ils réalisent leur vie de famille à l'étranger (cf. notamment ATF 135 I 153 consid. 2.1 et 135 I 143 consid. 2.2 ;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 4852/2011 précité, ibid. et les références citées). Or, en l'occurrence, rien ne permet de penser que les intéressés se trouveraient durablement dans l'impossibilité de se rencontrer ailleurs qu'en Suisse. A cela s'ajoute que les contacts pourront également être maintenus par d'autres moyens tels que la communication téléphonique, les visioconférences et la correspondance.</w:t>
      </w:r>
    </w:p>
    <w:p>
      <w:r>
        <w:rPr>
          <w:b/>
        </w:rPr>
        <w:t>E. 10</w:t>
      </w:r>
    </w:p>
    <w:p>
      <w:r>
        <w:t>Compte tenu des considérants exposés ci-dessus, le Tribunal estime qu'il ne saurait être reproché à l'ODM d'avoir refusé la délivrance d'une autorisation d'entrée dans l'Espace Schengen en faveur C._______. Il s'ensuit que, par sa décision du 13 mars 2013,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