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C-1707/2011 vom 25. März 2013</w:t>
      </w:r>
    </w:p>
    <w:p>
      <w:r>
        <w:t>Bundesverwaltungsgericht, 2013-03-25, DE</w:t>
      </w:r>
    </w:p>
    <w:p>
      <w:r>
        <w:rPr>
          <w:b/>
        </w:rPr>
        <w:t xml:space="preserve">Quelle: </w:t>
      </w:r>
      <w:r>
        <w:t>https://mcp.opencaselaw.ch/entscheid/bvger_C-1707_2011</w:t>
      </w:r>
    </w:p>
    <w:p>
      <w:r>
        <w:t>FR: TAF C-1707/2011 du 25 mars 2013</w:t>
      </w:r>
    </w:p>
    <w:p>
      <w:r>
        <w:t>IT: TAF C-1707/2011 del 25 marzo 2013</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 der angefochtenen Verfügung vom 4. Februar 2011 (act. 255) ist der Beschwerdeführer berührt und hat ein schutzwürdiges Interesse an deren Aufhebung oder Änderung (vgl. Art. 59 ATSG). Nachdem auch der Kostenvorschuss fristgerecht geleistet worden ist, ergibt sich zusammenfassend, dass sämtliche Prozessvoraussetzungen erfüllt sind. Auf die Beschwerde ist daher einzutreten.</w:t>
      </w:r>
    </w:p>
    <w:p>
      <w:r>
        <w:rPr>
          <w:b/>
        </w:rPr>
        <w:t>E. 1.4</w:t>
      </w:r>
    </w:p>
    <w:p>
      <w:r>
        <w:t>Anfechtungsobjekt bildet die Verfügung der Vorinstanz vom 4. Februar 2011 (act. 255), mit welcher der Anspruch auf eine IV-Rente abgewiesen worden ist. Streitig und zu prüfen ist die Rechtmässigkeit dieser Verfügung und in diesem Zusammenhang, ob die Vorinstanz den Sachverhalt insbesondere in medizinischer Hinsicht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im Wesentlichen anwendbaren Normen und Rechtsgrundsätze darzustellen.</w:t>
      </w:r>
    </w:p>
    <w:p>
      <w:r>
        <w:rPr>
          <w:b/>
        </w:rPr>
        <w:t>E. 2.1</w:t>
      </w:r>
    </w:p>
    <w:p>
      <w:r>
        <w:t>Der Beschwerdeführer besitzt die deutsche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 Noch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spätestens beim Erlass der Verfü­gung vom 4. Februar 2011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Die Normen des vom Bundesrat auf den 1. Januar 2012 in Kraft gesetzten ersten Teils der 6. IV-Revision (IV-Revision 6a) sind vorliegend nicht anwendbar.</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Die Annahme eines psychischen Gesundheitsschadens, so auch einer anhaltenden somatoformen Schmerzstörung, setzt zunächst eine fachärztlich (psychiatrisch) gestellte Diagnose nach einem wissenschaftlich anerkannten Klassifikationssystem voraus (BGE 136 V 279 E. 3.2.1).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137 V 64 E. 4.1, 136 V 279 E. 3.2.1, 131 V 49 E. 1.2, 130 V 352 E. 2.2.3). Diese für alle Versicherten in gleicher Weise geltende Gerichtspraxis ist weder menschenrechtswidrig noch diskriminierend (SVR 2008 IV Nr. 62 S. 204 E. 4.2) noch basiert sie - mit Blick auf die rechtliche Natur des Kriterienkataloges - auf medizinwissenschaftlich unhaltbaren Annahmen (Entscheid des BGer vom 20. Dezember 2011, 9C_776/2010, E. 2.3 bis 2.5). Psychosoziale und soziokulturelle Faktoren lassen sich oft nicht klar vom medizinisch objektivierbaren Leiden trennen. Trotzdem können solche äusseren Umstände nicht als gesundheitliche Beeinträchtigungen im Sinne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dieser Belastung wieder verschwinden, nicht zur Invalidenrente berechtigen. Zwar kann einer fachgerecht diagnostizierten psychischen Krankheit der invalidisierende Charakter nicht mit dem blossen Hinweis auf eine bestehende psychosoziale Belastungssituation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Nur wenn und soweit psychosoziale und soziokulturelle Faktoren einen derart verselbstständigten Gesundheitsschaden aufrechterhalten oder seine - unabhängig von den invaliditätsfremden Elementen bestehenden - Folgen verschlimmern, können sie sich mittelbar invaliditätsbegründend auswirken (SVR 2010 IV Nr. 19 S. 59 E. 5.2). In diesem Sinn werden Wechselwirkungen zwischen sich körperlich und psychisch manifestierenden Störungen und der sozialen Umwelt berücksichtigt, wenn auch bedeutend weniger stark als nach dem in der Medizin verbreiteten bio-psycho-sozialen Krankheitsmodell (SVR 2008 IV Nr. 62 S. 204 E. 4.2).</w:t>
      </w:r>
    </w:p>
    <w:p>
      <w:r>
        <w:rPr>
          <w:b/>
        </w:rPr>
        <w:t>E. 2.5</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EVG stellt diese Regelung nicht eine blosse Auszah­lungsvorschrift, sondern eine be­sondere Anspruchsvoraussetzung dar (BGE 121 V 275 E. 6c).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S. 117 E. 2.1).</w:t>
      </w:r>
    </w:p>
    <w:p>
      <w:r>
        <w:rPr>
          <w:b/>
        </w:rPr>
        <w:t>E. 2.6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Nachdem der Versicherte am 20. Juli 2006 den Rentenantrag in Deutschland eingereicht hatte, gingen am 3. November 2009 bei der IVSTA unter anderem die Formulare E 204 und E 205 ein (vgl. Bst. B. hiervor). Die Frage, ob beim Beschwerdeführer eine wesentliche Änderung eingetreten ist, welche geeignet ist, den IV-Grad und damit den Rentenanspruch analog zu aArt. 41 IVG (in Kraft gewesen bis 31. Dezember 2002) bzw. Art. 17 ATSG (in Kraft seit 1. Januar 2003) in Verbindung mit Art. 87 Abs. 3 und 4 IVV (in Kraft gewesen bis 31. Dezember 2011; vgl. seit 1. Januar 2012 Art. 87 Abs. 2 und 3 IVV) zu beeinflussen, beurteilt sich durch Vergleich des Sachverhalts, wie er zur Zeit der Verfügung vom 31. August 1998 (act. 60; vgl. auch Bst. A. hiervor) bestanden hatte, mit demjenigen, wie er im Zeitpunkt der vorliegend angefochtenen Verfügung vom 4. Februar 2011 (act. 255) eingetreten war (vgl. zum massgeblichen Vergleichszeitpunkt BGE 133 V 108 E. 5.3; 130 V 71 E. 3.2.3; AHI 1999 S. 84 E. 1b).</w:t>
      </w:r>
    </w:p>
    <w:p>
      <w:r>
        <w:rPr>
          <w:b/>
        </w:rPr>
        <w:t>E. 3.1</w:t>
      </w:r>
    </w:p>
    <w:p>
      <w:r>
        <w:t>Im Rahmen des Erlasses der Verfügung vom 31. August 1998, welche von der Reko AHV/IV und vom EVG geschützt wurde (act. 60; vgl. auch Bst. A. hiervor), hatte sich die Vorinstanz insbesondere auf den Bericht von Dr. med. F._______ vom medizinischen Dienst vom 30. Juni 1997 gestützt. Dieser diagnostizierte chronische Lumbalgien nach einer Bandscheibenoperation auf Höhe L5-S1 im November 1993, eine Chondropathia patellea beidseits sowie eine dorsale Skoliose. Er kam zum Schluss, dass die ursprüngliche Tätigkeit als Gärtnermeister seit dem 22. Oktober 1993 nicht mehr zumutbar sei. Hingegen könnten leichtere Bürotätigkeiten in einem Gartencenter oder Planungs- und/oder Kontrollarbeiten in einer Gartenbauunternehmung seit 1. April 1995 vollschichtig ausgeübt werden (act. 50).</w:t>
      </w:r>
    </w:p>
    <w:p>
      <w:r>
        <w:rPr>
          <w:b/>
        </w:rPr>
        <w:t>E. 3.2</w:t>
      </w:r>
    </w:p>
    <w:p>
      <w:r>
        <w:t>Beim Erlass der angefochtenen Verfügung vom 4. Februar 2011 (act. 255) diente der Vorinstanz als Entscheidgrundlage insbesondere der Bericht von Dr. med. C._______, Facharzt für Psychiatrie und Psychotherapie, vom 2. Dezember 2010 (act. 245). Dr. med. C._______ erwähnte als Hauptdiagnose eine anhaltende somatoforme Schmerzstörung (ASS) und als Nebendiagnose mit Auswirkung auf die Arbeitsfähigkeit degenerative Veränderungen am Bewegungsapparat. Weiter führte er aus, obgleich die Psychologin (recte: "ärztliche Psychotherapeutin") die Diagnose einer rezidivierenden depressiven Störung stelle, sei diese in ihrem ansonsten sehr eindrücklichen Bericht keineswegs nachgewiesen. Ganz im Gegenteil, denn es handle sich eindeutig um Selbstlimitierung, Regredierung und Opferhaltung, wie es bei einer ASS regelhaft der Fall sei. Ebenso fehlten die Symptome, die eine generalisierte Angststörung begründeten. Die soziale Phobie lasse sich ebenfalls unter die ASS subsumieren. Die degenerativen Veränderungen am Bewegungsapparat seien nicht derart, dass sie die Arbeit als Gärtnermeister einschränkten; ein solcher müsse keine schweren Gewichte tragen, sondern vor allem führen und ausbilden. Aus dem letzten Bericht der behandelnden Psychologin gehe hervor, dass der Versicherte bereit sei, an sich zu arbeiten. Er sehe ein, dass er sich mit seinem Verhalten bis anhin nur geschadet habe. Es handle sich nicht um eine Depression, sondern um das typische Verhalten bei der ASS mit der regelhaft dazu gehörenden Verstimmung. Aus dem Bericht gehe auch hervor, dass eine Berentung kontraproduktiv wäre. Gemäss schweizerischem Usus müsse der Antrag abgelehnt werden.</w:t>
      </w:r>
    </w:p>
    <w:p>
      <w:r>
        <w:rPr>
          <w:b/>
        </w:rPr>
        <w:t>E. 3.3.1</w:t>
      </w:r>
    </w:p>
    <w:p>
      <w:r>
        <w:t>Mit Blick auf das beim Beschwerdeführer vorhandene Krankheitsbild beurteilt sich die Frage, inwieweit eine Arbeitsunfähigkeit aus medizinisch-psychiatrischer Sicht als invalidisierend im Rechtssinne (vgl. Art. 4 Abs. 1 IVG sowie Art. 3 Abs. 1 und Art. 6 ATSG) anzuerkennen ist, nach der vom Bundesgericht mit BGE 130 V 352 begründeten Rechtsprechung zur somatoformen Rechtsprechung (vgl. BGE 137 V 64 E. 4.1, 136 V 279 E. 3.2.3 und SVR 2012 IV Nr. 1 S. 1, 9C_1040/2010 E. 3.4.1).</w:t>
      </w:r>
    </w:p>
    <w:p>
      <w:r>
        <w:rPr>
          <w:b/>
        </w:rPr>
        <w:t>E. 3.3.2</w:t>
      </w:r>
    </w:p>
    <w:p>
      <w:r>
        <w:t>Bei der Stellungnahme von Dr. med. C._______ handelt es sich um einen Bericht im Sinne von Art. 59 Abs. 2bis IVG (vgl. zum Sinn und Zweck dieser gesetzlichen Norm sowie zu Art. 49 IVV Urteil des BGer 9C_323/2009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3.3.3</w:t>
      </w:r>
    </w:p>
    <w:p>
      <w:r>
        <w:t>Obwohl Dr. med. C._______ über einen Facharzttitel auf dem Gebiet der Psychiatrie und Psychiatrie verfügt, ist seine Beurteilung weder überzeugend noch schlüssig. Diese vermag die an den Beweiswert eines Arztberichts gestellten Anforderungen nicht zu erfüllen: Dr. med. C._______ lieferte in seinem Bericht vom 2. Dezember 2010 keine Erklärung dafür, weshalb er die ärztliche Psychotherapeutin D._______ als "Psychologin" bezeichnet hatte. Diese diagnostizierte in ihrem Bericht vom 6. August 2010 (act. 236) eine rezidivierende depressive Störung (mittelgradige Episode [ICD-10: F33.2), eine lang anhaltende somatoforme Schmerzstörung (ICD-10: F45.4) sowie eine generalisierte Angststörung, soziale Phobie (ICD-10: F40.1). Dr. med. C._______ übernahm ohne eigene Untersuchungen in psychisch-psychiatrischer Hinsicht von der untersuchenden und begutachtenden ärztlichen Psychotherapeutin D._______ bloss deren Diagnose der anhaltenden somatoformen Schmerzstörung. Dies geht nicht an, denn im Zweifelsfall hätte in psychisch-psychiatrischer Hinsicht eine neue umfassende Begutachtung durchgeführt werden müssen. Weiter hatte sich Dr. med. C._______ mit den "Förster-Kriterien" nicht rechtsgenüglich auseinandergesetzt. Indem Dr. med. C._______ ausführte, die degenerativen Veränderungen am Bewegungsapparat seien nicht derart, dass sie die Arbeit als Gärtnermeister einschränkten, beurteilte er zusätzlich somatische Beschwerden. Zur Beurteilung dieser fehlt ihm in seiner Eigenschaft als Psychiater und Psychotherapeut jedoch die fachärztliche Qualifikation, was insbesondere mit Blick auf den Umstand, dass er sich hinsichtlich der Arbeitsfähigkeit in Widerspruch zu fachärztlichen orthopädischen und internistisch-rheumatologischen Gutachten (vgl. act. 185 S. 17 und insb. act. 186 S. 25 und 187 S. 24) setzt, umso problematischer ist. Entgegen seiner Auffassung kommt hinzu, dass auch ein Gärtnermeister je nach Grösse seines Betriebs oder seiner beruflichen Stellung durchaus selber Hand anlegen muss und sich seine Tätigkeit nicht bloss auf Führungs- und Ausbildungsaufgaben beschränkt. Demnach lässt sich der gesundheitliche Zustand des Beschwerdeführers und dessen Auswirkungen auf die Arbeits- und Leistungsfähigkeit im massgeblichen Verfügungszeitpunkt vom 4. Februar 2011 nicht schlüssig und zuverlässig beurteilen (vgl. BGE 125 V 353 E. 3b/bb; vgl. zum Ganzen auch E. 2.7 hiervor). Es kann deshalb nicht auf die Abnahme weiterer Beweise verzichtet werden (zum gegenteiligen Fall resp. zur antizipierten Beweiswürdigung vgl. BGE 136 I 229 E. 5.3; vgl. auch BGE 122 V 157 E. 1d; SVR 2005 IV Nr. 8 S. 37 E. 6.2, 2003 AHV Nr. 4 S. 11 E. 4.2.1), da von einer zusätzlichen, medizinisch nachvollziehbar und schlüssig begründeten Beurteilung neue verwertbare und entscheidrelevanten Erkenntnisse zu erwarten sind (vgl. zum Ganzen Urteil des BGer 8C_189/2008 vom 4. Juli 2008 E. 5 mit Hinweisen).</w:t>
      </w:r>
    </w:p>
    <w:p>
      <w:r>
        <w:rPr>
          <w:b/>
        </w:rPr>
        <w:t>E. 3.3.4</w:t>
      </w:r>
    </w:p>
    <w:p>
      <w:r>
        <w:t>Zwar kann mangels Aktualität nicht auf die zahlreichen Gutachten aus Deutschland (act. 29, 30, 68/138, 70/142, 75/148, 88/196, 92, 93/222, 95, 155/221, 168, 183, 185 bis 187) abgestellt werden. Aus diesen geht jedoch zweifelsfrei hervor, dass beim Beschwerdeführer somatische und psychisch-psychiatrische gesundheitliche Beeinträchtigungen zusammenwirken, weshalb sich eine isolierte Betrachtung der somatischen und psychischen Befunde nicht rechtfertigen lässt. Mit anderen Worten ist aufgrund dieser Sachlage ein interdisziplinäres medizinisches Gutachten einzuholen (vgl. hierzu Urteil 8C_168/2008 des BGer vom 11. August 2008 E. 6.2.2. mit Hinweisen). Da Stellungnahmen von Fachärzten und/oder Fachärztinnen zum psychischen Gesundheitszustand und zu dem aus medizinischer Sicht (objektiv) vorhandenen Leistungspotenzial eine unabdingbare Grundlage für die Beurteilung der Rechtsfrage bilden, ob und gegebenenfalls inwieweit einer versicherten Person unter Aufbringung allen guten Willens die Überwindung ihrer Schmerzen und die Verwertung ihrer verbleibenden Arbeitskraft zumutbar ist oder nicht (BGE 130 V 352 E. 2.2.5), hat sich die Fachärztin oder der Facharzt für Psychiatrie und Psychotherapie im Rahmen der psychiatrischen Begutachtung einlässlich zu den "Förster-Kriterien" zu äussern. Dabei sind insbesondere auch die Fragen nach der psychischen Komorbidität (falls überhaupt vorhanden [vgl. in diesem Zusammenhang SVR 2008 IV Nr. 23 S. 71, I 683/06 E. 2.2]) und - im Rahmen der Einschätzung der psychischen Ressourcen - nach dem Umgang mit den Schmerzen durch den Beschwerdeführer zu beantworten. Damit kann letztlich eine einheitliche und rechtsgleiche Einschätzung der Arbeitsfähigkeit gewährleistet werden (vgl. hierzu BGE 135 V 201 E. 7.1.3; 130 V 352 E. 2.2.4; vgl. auch Ulrich Meyer, Die Rechtsprechung zur Arbeitsunfähigkeitsschätzung bei somatoformen Schmerzstörungen, in: Medizin und Sozialversicherung im Gespräch, 2006, S. 221).</w:t>
      </w:r>
    </w:p>
    <w:p>
      <w:r>
        <w:rPr>
          <w:b/>
        </w:rPr>
        <w:t>E. 3.3.5</w:t>
      </w:r>
    </w:p>
    <w:p>
      <w:r>
        <w:t>Ergänzend ist darauf hinzuweisen, dass der Beschwerdeführer aus dem Umstand, dass er vom ausländischen Versicherungsträger ab dem 1. Juni 2009 berentet worden ist (act. 107 und 230), nichts zu seinen Gunsten ableiten, denn sein vorliegend geltend gemachter Schweizer Rentenanspruch bestimmt sich alleine aufgrund der schweizerischen Bestimmungen. Es besteht für die rechtsanwendenden Behörden in der Schweiz keine Bindung an die Feststellungen ausländischer Versicherungsträger, Behörden und Ärzte bezüglich Invaliditätsgrad und Anspruchsbeginn (vgl. BGE 130 V 253 E.4 und AHI 1996, S. 179; vgl. auch ZAK 1989 S. 320 E. 2).</w:t>
      </w:r>
    </w:p>
    <w:p>
      <w:r>
        <w:rPr>
          <w:b/>
        </w:rPr>
        <w:t>E. 3.4</w:t>
      </w:r>
    </w:p>
    <w:p>
      <w:r>
        <w:t>Nach dem Dargelegten wurde im vorliegend zu beurteilenden Rentenverfahren der rechtserhebliche Sachverhalt nicht rechtsgenüglich abgeklärt und gewürdigt (Art. 43 ff. ATSG sowie Art. 12 VwVG). Eine Rückweisung der Sache in Nachachtung des Untersuchungsgrundsatzes (Art. 43 Abs. 1 ATSG) an die Vorinstanz zur weiteren Abklärung ist unter diesen Umständen möglich, da sie in der notwendigen Beantwortung der bisher ungeklärten Fragen nach dem Zusammenwirken der psychischen und somatischen Leiden des Beschwerdeführers und den Auswirkungen auf die Arbeits- resp. Leistungsfähigkeit begründet liegt (vgl. BGE 137 V 210 E. 4.4.1.4). Mit Blick auf die beschwerdeweise gemachten Ausführungen hat die Vorinstanz auch die sich im Zusammenhang mit dem Status des Beschwerdeführers stellenden Fragen zu beantworten. Weiter hat sie nach Vorliegen der Ergebnisse der zusätzlich erforderlichen Begutachtung - im Rahmen welcher sämtliche bisher verfassten ärztlichen Berichte zu berücksichtigen sind - die Invalidität nach der angezeigten Methode zu bemessen resp. einen (bezifferten) Einkommensvergleich durchzuführen, falls die allgemeine Methode des Einkommensvergleichs zur Anwendung gelang. Schliesslich hat sie ergänzende Abklärungen hinsichtlich der Verwertbarkeit der Arbeitsfähigkeit in die Wege zu leiten (vgl. Urteile I 462/02 des EVG vom 26. Mai 2003 und 9C_921/2009 des BGer vom 22. Juni 2010).</w:t>
      </w:r>
    </w:p>
    <w:p>
      <w:r>
        <w:rPr>
          <w:b/>
        </w:rPr>
        <w:t>E. 4</w:t>
      </w:r>
    </w:p>
    <w:p>
      <w:r>
        <w:t>Aufgrund der vorstehenden Erwägungen ist zusammenfassend festzustellen, dass die Beschwerde vom 17. März 2011 insoweit gutzuheissen ist, als dass die angefochtene Verfügung vom 4. Februar 2011 aufzuheben ist und die Akten im Sinne der Erwägungen an die Vorinstanz zum Erlass einer neuen Verfügung zurückzuweisen sind.</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400.- nach Eintritt der Rechtskraft des vorliegenden Urteils zurückzuerstatten. Der Vorinstanz werden ebenfalls keine Verfahrenskosten auferlegt (Art. 63 Abs. 2 VwVG).</w:t>
      </w:r>
    </w:p>
    <w:p>
      <w:r>
        <w:rPr>
          <w:b/>
        </w:rPr>
        <w:t>E. 5.2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2'000.- (inkl. Auslagen, ohne Mehrwertsteuer [vgl. dazu auch Urteil des Bundesverwaltungsgerichts C-6173/2009 vom 29. August 2011 mit Hinweis]; Art. 9 Abs. 1 in Verbindung mit Art. 10 Abs. 2 VGKE [Stundenansatz für Anwälte/Anwältinnen mindestens Fr. 200.- und höchstens Fr. 400.- und für nichtanwaltliche Vertreter und Vertreterinnen mindestens Fr. 100.- und höchstens Fr. 300.-])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