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C-1704/2010 vom 12. Dezember 2011</w:t>
      </w:r>
    </w:p>
    <w:p>
      <w:r>
        <w:t>Bundesverwaltungsgericht, 2011-12-12, FR</w:t>
      </w:r>
    </w:p>
    <w:p>
      <w:r>
        <w:rPr>
          <w:b/>
        </w:rPr>
        <w:t xml:space="preserve">Quelle: </w:t>
      </w:r>
      <w:r>
        <w:t>https://mcp.opencaselaw.ch/entscheid/bvger_C-1704_2010</w:t>
      </w:r>
    </w:p>
    <w:p>
      <w:r>
        <w:t>FR: TAF C-1704/2010 du 12 décembre 2011</w:t>
      </w:r>
    </w:p>
    <w:p>
      <w:r>
        <w:t>IT: TAF C-1704/2010 del 12 dicembre 2011</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d'acquisition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agissant pour elle-même et au nom de son fils mineur B._______,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et stable,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facilitée (cf. ATF 135 II précité, ibid.).</w:t>
      </w:r>
    </w:p>
    <w:p>
      <w:r>
        <w:rPr>
          <w:b/>
        </w:rPr>
        <w:t>E. 3.3</w:t>
      </w:r>
    </w:p>
    <w:p>
      <w:r>
        <w:t>En facilitant la naturalisation du conjoint étranger d'un ressortissant suisse aux conditions prévues à l'art. 27 et l'art. 28 LN,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3.4</w:t>
      </w:r>
    </w:p>
    <w:p>
      <w:r>
        <w:t>Il sied de relever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C'est le lieu de préciser, s'agissant de la naturalisation facilitée, que malgré l'évolution des moeurs et des mentalités, seule subsiste cette conception du mariage, communément admise et jugée digne de protection.</w:t>
      </w:r>
    </w:p>
    <w:p>
      <w:r>
        <w:rPr>
          <w:b/>
        </w:rPr>
        <w:t>E. 4</w:t>
      </w:r>
    </w:p>
    <w:p>
      <w:r>
        <w:t>Selon la pratique constante du Tribunal, il existe une présomption de fait (conduisant à un renversement du fardeau de la preuve), selon laquelle l'existence d'une communauté conjugale effective, intacte et stable doit en principe être niée ou à tout le moins être sérieusement mise en doute lorsque le conjoint étranger s'adonne à la prostitution l'existence d'une communauté conjugale telle que définie ci-dessus (cf. sur ce sujet les arrêts du Tribunal administratif fédéral C-3912/2008 du 8 juin 2009 consid. 9.2, C 7487/2006 du 28 mai 2008 consid. 3.2 et jurisprudence citée; également C-1171/2006 du 3 mars 2009 consid. 6.2 et jurisprudence citée). Par ailleurs, le Tribunal fédéral a considéré dernièrement (cf. arrêt du Tribunal fédéral 1C_387/2010 du 6 décembre 2010, consid. 2.3) que le fait d'exploiter un salon de massages et de faire commerce de ses charmes n'est pas représentatif de la communauté conjugale au sens de la jurisprudence.</w:t>
      </w:r>
    </w:p>
    <w:p>
      <w:r>
        <w:rPr>
          <w:b/>
        </w:rPr>
        <w:t>E. 5.1</w:t>
      </w:r>
    </w:p>
    <w:p>
      <w:r>
        <w:t>En l'espèce, lors de son audition du 26 janvier 2005 par la Police municipale de Lausanne, A._______ a déclaré que cinq mois après son arrivée en Suisse comme touriste en juin 2000, elle avait commencé à se prostituer, tout d'abord de septembre à décembre 2000 à Crissier, puis dès mars 2001 non plus dans un salon, mais en se déplaçant chez les clients. Elle a précisé lors de cette audition qu'environ 10 mois auparavant, elle avait aménagé son appartement à Lausanne afin de pouvoir disposer d'une pièce pour pouvoir exercer son activité de prostituée. Au début, elle travaillait seule dans son appartement, puis une de ses amies l'avait rejointe pour travailler avec elle. Son mari était au courant, mais la laissait agir. Les personnes qui travaillaient pour elle n'avaient pas été déclarées, pas plus que l'activité exercée et que les revenus perçus. Entendu le même jour, C._______ a confirmé les propos de son épouse, en particulier concernant l'aménagement de leur appartement pour qu'elle puisse y recevoir des clients. Il a indiqué en outre que son épouse gagnait environ 3'000 francs par mois pour son activité liée à la prostitution. Par prononcés préfectoraux des 23 août 2005, A._______ et son conjoint C._______ ont d'ailleurs tous deux été condamnés à une amende de 3'000 francs chacun pour ces faits, en application notamment des art. 23 al.1 par. 5 de la loi fédérale du 26 mars 1931 sur le séjour et l'établissement des étrangers (LSEE, RS 1 113) et 199 CP. Il ressort ainsi du dossier que le mariage contracté le 15 septembre 2003 à Lausanne entre A._______ et C._______ a permis à la prénommée, alors en séjour illégal en Suisse, de régulariser ses conditions de séjours et de continuer à exercer son métier de prostituée. Elle a exercé cette activité d'abord en toute illégalité, puis l'a poursuivie légalement sur la base de l'autorisation cantonale délivrée le 14 novembre 2006.</w:t>
      </w:r>
    </w:p>
    <w:p>
      <w:r>
        <w:rPr>
          <w:b/>
        </w:rPr>
        <w:t>E. 6.1</w:t>
      </w:r>
    </w:p>
    <w:p>
      <w:r>
        <w:t>En premier lieu, il convient de relever qu'après avoir admis dans son recours qu'elle s'adonnait à la prostitution (cf. recours ch. 2 p. 2 in fine), la recourante est revenue sur cette déclaration dans ses déterminations du 21 mai 2010 en prétendant ne pas s'adonner personnellement à la prostitution, son activité consistant uniquement à être responsable de salons de massages. Le Tribunal constate que ce soudain revirement argumentatif paraît dicté par les besoins de la procédure; il n'est en tout état de cause nullement étayé. Au vu des différents types de prestations fournies par l'intéressée jusqu'alors avec constance dans son activité, il paraît difficile de considérer qu'elle se cantonne désormais dans des activités administratives, comme elle l'allègue, toutefois sans apporter d'éléments concrets pour le démontrer.</w:t>
      </w:r>
    </w:p>
    <w:p>
      <w:r>
        <w:rPr>
          <w:b/>
        </w:rPr>
        <w:t>E. 6.2</w:t>
      </w:r>
    </w:p>
    <w:p>
      <w:r>
        <w:t>Cela étant, si, comme semble l'avoir admis dans sa jurisprudence récente le Tribunal fédéral, le fait d'exploiter un salon de massages et de faire commerce de ses charmes n'est pas représentatif de la communauté conjugale au sens précisé par la jurisprudence (cf. arrêt 1C_387/2010 précité), il faudrait alors considérer que la recourante ne saurait de toute évidence pas prétendre à l'octroi de la naturalisation facilitée. Indépendamment de ce qui précède, les conditions de l'octroi de la naturalisation facilité ne sont de toute façon pas remplies du fait que la recourante n'a pas réussi à renverser la présomption selon laquelle l'existence d'une communauté conjugale effective, intacte et stable devait être niée en l'espèce en raison de l'exercice de la prostitution (cf. consid. 4 ci-dessus et jurisprudence citée). En effet, la recourante a fait valoir au cours de la procédure que la situation de son couple était celle d'une communauté normale et que ce mariage n'était pas de complaisance, mais une véritable union, les époux ayant acheté un appartement à Lausanne en octobre 2006, elle-même exploitant deux salons de massage régulièrement enregistrés à Lausanne et son conjoint travaillant comme salarié auprès du même employeur depuis 2003. Quant à C._______, il a déclaré vivre en communauté stable avec son épouse et l'enfant de celle-ci depuis leur mariage conclu le 15 septembre 2003 et avoir l'intention de finir ses jours auprès d'elle (cf. courrier du 13 mars 2010). Par ailleurs, la recourante a versé en cause plusieurs lettres d'intervenants, dont celles des deux enfants issus d'un premier mariage de son époux, tous deux majeurs, qui ont certifié que leur père vit bien avec son épouse et que l'activité professionnelle de leur belle-mère ne leur pose pas de problèmes dans le cadre familial (cf. courriers des 13 mars et 15 mars 2010, joints au recours). Ces arguments ne sont pas convaincants et ne sauraient être suivis. Les affirmations de l'époux de la recourante ne revêtent qu'une simple force déclaratoire qui ne remet nullement en cause l'activité simultanée et bien réelle dans le domaine de la prostitution de A._______. Quant aux déclarations des enfants de C._______, elle ne portent aucunement sur la qualité de la relation du couple, mais bien plutôt sur la manière dont eux-mêmes perçoivent l'activité de leur belle-mère. Enfin, s'agissant de l'appartement acheté conjointement, on ne voit pas en quoi cette acquisition immobilière serait susceptible de constituer la garantie d'une communauté matrimoniale effective et intacte dans la mesure où elle n'entrave en rien la possibilité pour la recourante d'exercer l'activité indiquée, du reste avec le consentement de son époux.</w:t>
      </w:r>
    </w:p>
    <w:p>
      <w:r>
        <w:rPr>
          <w:b/>
        </w:rPr>
        <w:t>E. 6.3</w:t>
      </w:r>
    </w:p>
    <w:p>
      <w:r>
        <w:t>Au vu de l'ensemble de ces circonstances du cas, on ne saurait dès lors reprocher à l'ODM d'avoir retenu que la relation vécue par les époux Lambert ne répondait pas à la notion de communauté conjugale au sens de l'art. 27 al. 1 let. c LN et, partant, d'avoir rejeté la demande de naturalisation facilitée de la recourante.</w:t>
      </w:r>
    </w:p>
    <w:p>
      <w:r>
        <w:rPr>
          <w:b/>
        </w:rPr>
        <w:t>E. 6.4</w:t>
      </w:r>
    </w:p>
    <w:p>
      <w:r>
        <w:t>Conformément à l'art. 33 LN, les enfants mineurs du requérant sont compris, en règle générale, dans sa naturalisation ou sa réintégration. A._______ n'obtenant pas la naturalisation facilitée, son fils mineur B._______ ne saurait donc obtenir la naturalisation en vertu de la disposition précitée.</w:t>
      </w:r>
    </w:p>
    <w:p>
      <w:r>
        <w:rPr>
          <w:b/>
        </w:rPr>
        <w:t>E. 7</w:t>
      </w:r>
    </w:p>
    <w:p>
      <w:r>
        <w:t>Il ressort de ce qui précède que, par sa décision du 25 février 2010, l'autorité de première instance n'a ni violé le droit fédéral, ni constaté des faits pertinents de manière inexacte ou incomplète; en outre cette décision n'est pas inopportune (art. 49 PA). En conséquence, le recours doit être rejeté. Cela étant, il y a lieu de mettre les frais de procédure à la charge de la recourante,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