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C-1703/2019 vom 20. Oktober 2022</w:t>
      </w:r>
    </w:p>
    <w:p>
      <w:r>
        <w:t>Bundesverwaltungsgericht, 2022-10-20, FR</w:t>
      </w:r>
    </w:p>
    <w:p>
      <w:r>
        <w:rPr>
          <w:b/>
        </w:rPr>
        <w:t xml:space="preserve">Quelle: </w:t>
      </w:r>
      <w:r>
        <w:t>https://mcp.opencaselaw.ch/entscheid/bvger_C-1703_2019</w:t>
      </w:r>
    </w:p>
    <w:p>
      <w:r>
        <w:t>FR: TAF C-1703/2019 du 20 octobre 2022</w:t>
      </w:r>
    </w:p>
    <w:p>
      <w:r>
        <w:t>IT: TAF C-1703/2019 del 20 ottobre 2022</w:t>
      </w:r>
    </w:p>
    <w:p>
      <w:pPr>
        <w:pStyle w:val="Heading2"/>
      </w:pPr>
      <w:r>
        <w:t>Regeste</w:t>
      </w:r>
    </w:p>
    <w:p>
      <w:r>
        <w:t>Libération de l'obligation d'assujettissement</w:t>
      </w:r>
    </w:p>
    <w:p>
      <w:pPr>
        <w:pStyle w:val="Heading2"/>
      </w:pPr>
      <w:r>
        <w:t>Erwägungen</w:t>
      </w:r>
    </w:p>
    <w:p>
      <w:r>
        <w:rPr>
          <w:b/>
        </w:rPr>
        <w:t>E. 5</w:t>
      </w:r>
    </w:p>
    <w:p>
      <w:r>
        <w:t>En définitive, le recours doit être admis et la décision attaquée annulée, le dossier étant renvoyé à l'autorité inférieure pour instruction complémentaire dans le sens des considérants et nouvelle décision.</w:t>
      </w:r>
    </w:p>
    <w:p>
      <w:r>
        <w:rPr>
          <w:b/>
        </w:rPr>
        <w:t>E. 6.1</w:t>
      </w:r>
    </w:p>
    <w:p>
      <w:r>
        <w:t>Il n'est pas perçu de frais de procédure, celle-ci étant gratuite compte tenu du fait que le recours a été déposé en 2019 avant le changement de règlementation entrée en vigueur le 1er janvier 2021 (art. 18 al. 8 LAMal en relation avec l'art. 85bis al. 2 aLAVS en vigueur en 2019).</w:t>
      </w:r>
    </w:p>
    <w:p>
      <w:r>
        <w:rPr>
          <w:b/>
        </w:rPr>
        <w:t>E. 6.2</w:t>
      </w:r>
    </w:p>
    <w:p>
      <w:r>
        <w:t>Selon la jurisprudence du Tribunal fédéral (ATF 132 V 215 consid. 6.2), la partie qui a formé recours est réputée avoir obtenu gain de cause lorsque la cause est renvoyée à l'administration pour instruction complémentaire et nouvelle décision.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il convient de lui allouer une indemnité de dépens de Fr. 2'800.-,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