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C-169/2021 vom 15. Dezember 2020</w:t>
      </w:r>
    </w:p>
    <w:p>
      <w:r>
        <w:t>Bundesverwaltungsgericht, 2020-12-15, FR</w:t>
      </w:r>
    </w:p>
    <w:p>
      <w:r>
        <w:rPr>
          <w:b/>
        </w:rPr>
        <w:t xml:space="preserve">Quelle: </w:t>
      </w:r>
      <w:r>
        <w:t>https://mcp.opencaselaw.ch/entscheid/bvger_C-169_2021_d20201215</w:t>
      </w:r>
    </w:p>
    <w:p>
      <w:r>
        <w:t>FR: TAF C-169/2021 du 15 décembre 2020</w:t>
      </w:r>
    </w:p>
    <w:p>
      <w:r>
        <w:t>IT: TAF C-169/2021 del 15 dicembre 2020</w:t>
      </w:r>
    </w:p>
    <w:p>
      <w:pPr>
        <w:pStyle w:val="Heading2"/>
      </w:pPr>
      <w:r>
        <w:t>Regeste</w:t>
      </w:r>
    </w:p>
    <w:p>
      <w:r>
        <w:t>Evaluation de l'invalidit&amp;eacute; | Assurance-invalidité, nouvelle demande (décisions du 15 décembre 2020)</w:t>
      </w:r>
    </w:p>
    <w:p>
      <w:pPr>
        <w:pStyle w:val="Heading2"/>
      </w:pPr>
      <w:r>
        <w:t>Erwägungen</w:t>
      </w:r>
    </w:p>
    <w:p>
      <w:r>
        <w:rPr>
          <w:b/>
        </w:rPr>
        <w:t>E. 9</w:t>
      </w:r>
    </w:p>
    <w:p>
      <w:r>
        <w:t>Bien que le recourant ne conteste pas le calcul du degré d’invalidité opéré par l’OAIE, il convient de procéder à une vérification d’office de celui-ci.</w:t>
      </w:r>
    </w:p>
    <w:p>
      <w:r>
        <w:rPr>
          <w:b/>
        </w:rPr>
        <w:t>E. 9.1</w:t>
      </w:r>
    </w:p>
    <w:p>
      <w:r>
        <w:t>S’agissant du calcul de la rente d’invalidité, le degré d’invalidité des personnes exerçant une activité lucrative doit être déterminé en application de la méthode ordinaire de comparaison des revenus, conformément à l’art. 16 LPGA, en lien avec l’art. 28a al. 1 LAI (dans sa teneur en vigueur jusqu’au 31 décembre 2021).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 paraison des revenus ; ATF 130 V 343 consid. 3.4.2 ; arrêt du TF 8C_536/2017 du 5 mars 2018 consid. 5.1).</w:t>
      </w:r>
    </w:p>
    <w:p>
      <w:r>
        <w:t>C-169/2021 Page 34</w:t>
      </w:r>
    </w:p>
    <w:p>
      <w:r>
        <w:rPr>
          <w:b/>
        </w:rPr>
        <w:t>E. 9.2</w:t>
      </w:r>
    </w:p>
    <w:p>
      <w:r>
        <w:t>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 luer le degré d’invalidité d’une personne résidant à l’étranger, la comparai- son des revenus déterminants pour ce faire doit s’effectuer sur le même marché du travail, car la disparité des niveaux de rémunération et des coûts de la vie d’un pays à l’autre ne permet pas de procéder à une com- paraison objective des revenus en question (ATF 137 V 20 consid. 5.2.3.2 ; 110 V 273 consid. 4b ; arrêt du TF 8C_300/2015 du 10 novembre 2015 consid. 7.1).</w:t>
      </w:r>
    </w:p>
    <w:p>
      <w:r>
        <w:rPr>
          <w:b/>
        </w:rPr>
        <w:t>E. 9.2.1</w:t>
      </w:r>
    </w:p>
    <w:p>
      <w:r>
        <w:t>Le revenu hypothétique de la personne valide se détermine en prin- 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 lution nominale des salaires. Au regard des capacités professionnelles de la personne concernée et des circonstances personnelles la concernant, on prend en considération ses chances réelles d'avancement compro- mises par le handicap, en posant la présomption qu'elle aurait continué d'exercer son activité sans la survenance de son invalidité. Des exceptions ne sauraient être admises que si elles sont établies au degré de la vrai- semblance prépondérante (ATF 139 V 28 consid. 3.3.2 ; 134 V 322 con- sid. 4.1 ; arrêt du TF 9C_708/2017 du 23 février 2018 consid. 8.1). Ce n'est qu'en présence de circonstances particulières qu'il peut se justifier de s’écarter du dernier salaire réalisé et de recourir aux données statis- tiques résultant de l'Enquête suisse sur la structure des salaires (ESS) édité par l'Office fédéral de la statistique (OFS). Tel sera notamment le cas lorsqu'on ne dispose d'aucun renseignement au sujet de la dernière activité professionnelle de la personne concernée, ou si le dernier salaire que celle-ci a perçu ne correspond manifestement pas à ce qu'elle aurait été en mesure de réaliser, selon toute vraisemblance, en tant que personne valide, ou encore s’il apparaît que la personne concernée n’aurait plus exercé son activité habituelle, indépendamment de la survenance de l’in- validité (arrêts du TF 9C_394/2013 du 27 septembre 2013 consid. 3.3 ;</w:t>
      </w:r>
    </w:p>
    <w:p>
      <w:r>
        <w:t>C-169/2021 Page 35 9C_238/2008 du 5 janvier 2009 consid. 3). Dans la mesure où les salaires tirés de l'ESS sont en principe déterminés en fonction d'un horaire de 40 heures par semaine, il convient de les rapporter à la durée hebdoma- daire de travail durant l'année considérée (ATF 126 V 75 consid. 3b/bb). En outre, il y a lieu d’adapter ces salaires à l’évolution nominale des sa- laires, en se fondant sur l'indice des salaires nominaux spécifique aux hommes et aux femmes (ATF 129 V 408 consid. 3.1.2).</w:t>
      </w:r>
    </w:p>
    <w:p>
      <w:r>
        <w:rPr>
          <w:b/>
        </w:rPr>
        <w:t>E. 9.2.2</w:t>
      </w:r>
    </w:p>
    <w:p>
      <w:r>
        <w:t>Le revenu d'invalide doit être évalué avant tout en fonction de la si- tuation professionnelle concrète de l'intéressé. Lorsque la personne con- cernée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cumu- latives sont réunies, on prendra en compte le revenu effectivement réalisé pour fixer le revenu d'invalide. Si, en revanche, la personne concernée n'a pas repris d'activité, ou d’activité adaptée lui permettant de mettre pleine- ment en valeur sa capacité résiduelle de travail, contrairement à ce qui serait raisonnablement exigible de sa part, le revenu d'invalide peut être évalué, notamment, sur la base des données statistiques résultant de l'En- 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 Dans ce cas, il s’agit de se fonder, en règle générale, sur les salaires men- 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 lières. Tel est notamment le cas lorsque, avant l'atteinte à la santé, la per- sonne concernée a travaillé dans un même domaine pendant de nom- breuses années et qu'une activité dans un autre domaine n'entre quasi- ment plus en ligne de compte (arrêt du TF 8C_471/2017 du 16 avril 2018 consid. 4.2). Par ailleurs, il n’y a pas d’obligation de recourir systématique- ment au tableau TA1 (arrêt du TF 9C_841/2013 du 7 mars 2014 consid. 4.2) ; cela étant, lorsqu’il convient de faire usage de l’ESS 2012 ou d’une</w:t>
      </w:r>
    </w:p>
    <w:p>
      <w:r>
        <w:t>C-169/2021 Page 36 enquête plus récente, il y a alors lieu de se référer – jusqu’à nouvel ordre – au tableau TA1 uniquement (ATF 142 V 178 consid. 2.5.7).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catégo- rie d'autorisation de séjour,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 vail sur le marché ordinaire de l’emploi que contre une rémunération infé- rieure au salaire moyen correspondant. La hauteur de l’abattement dépend de chaque cas d’espèce, une réduction automatique n’étant pas admis- sible, et ne peut dépasser 25 % du salaire statistique (ATF 142 V 178 con- 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 nistration ; il doit s’appuyer sur des circonstances de nature à faire appa- raître sa propre appréciation comme la mieux appropriée (ATF 126 V 75 consid. 6 ; arrêt du TF 8C_103/2018 du 25 juillet 2018 consid. 4).</w:t>
      </w:r>
    </w:p>
    <w:p>
      <w:r>
        <w:rPr>
          <w:b/>
        </w:rPr>
        <w:t>E. 9.3</w:t>
      </w:r>
    </w:p>
    <w:p>
      <w:r>
        <w:t>En l’espèce, le Tribunal constate en préambule que l’assuré a déposé sa seconde demande de prestations d’invalidité le 25 septembre 2018, de sorte que son droit éventuel à une rente prend naissance au plus tôt le 1er mars 2019, soit à l’issue du délai d’attente de 6 mois prévu à l’art. 29 LAI. Partant, l’incapacité de travail de 50 % qu’il a subie dans son activité lucra- tive habituelle à partir de mars 2017 ne saurait lui ouvrir droit à des presta- tions AI compte tenu du délai de carence d’une année prévu à l’art. 28 al. 1 let. b LAI. Par ailleurs, c’est à juste titre que l’OAIE a déterminé le taux d’invalidité litigieux en appliquant la méthode ordinaire de comparaison des revenus, le recourant ayant exercé une activité lucrative à 100 % avant la survenance de l’invalidité et compte tenu d’une incapacité de travail de 100 % dans toute activité lucrative à partir du mois de juin 2018, puis d’une capacité de travail de 80 % dans une activité lucrative de substitution à partir du 13 août 2020.</w:t>
      </w:r>
    </w:p>
    <w:p>
      <w:r>
        <w:t>C-169/2021 Page 37</w:t>
      </w:r>
    </w:p>
    <w:p>
      <w:r>
        <w:rPr>
          <w:b/>
        </w:rPr>
        <w:t>E. 9.4</w:t>
      </w:r>
    </w:p>
    <w:p>
      <w:r>
        <w:t>Compte tenu de l’incapacité totale de travail retenue dans toute activité lucrative depuis juin 2018, celle-ci fonde à juste titre l’octroi d’une rente entière à compter du 1er mars 2019, soit à l’issue du délai de 6 mois suivant le dépôt de la demande de prestations d’invalidité en date du 25 septembre 2018. Dès lors que le recourant n'a pu réaliser aucun gain depuis lors, les revenus avec et sans invalidité à prendre en compte s’élèvent à CHF 0.- respectivement la perte de gain à 100 %, de sorte qu’il est superflu de pro- céder formellement à une comparaison des gains déterminants (cf. arrêt du TAF C-1005/2021 du 28 avril 2023 consid. 7.1).</w:t>
      </w:r>
    </w:p>
    <w:p>
      <w:r>
        <w:rPr>
          <w:b/>
        </w:rPr>
        <w:t>E. 9.5</w:t>
      </w:r>
    </w:p>
    <w:p>
      <w:r>
        <w:t>Il reste à examiner si c’est ou non à juste titre que l’OAIE a diminué le droit à la rente du recourant à un quart de rente à partir du 1er décembre 2020.</w:t>
      </w:r>
    </w:p>
    <w:p>
      <w:r>
        <w:rPr>
          <w:b/>
        </w:rPr>
        <w:t>E. 9.5.1</w:t>
      </w:r>
    </w:p>
    <w:p>
      <w:r>
        <w:t>Pour ce faire, l’OAIE a pris en considération un revenu sans invalidité de CHF 94'470.- correspondant au salaire moyen d’un ouvrier sans forma- tion particulière dans l’industrie pharmaceutique (soit CHF 94'000.- fondé sur le tableau TA1 de l’ESS de 2018 et majoré de 0,5 % en 2019). L’autorité inférieure a ainsi écarté le dernier salaire réalisé par le recourant, considé- rant qu’au moment de la naissance du droit à la rente (en mars 2019), celui- ci n’exerçait plus d’activité lucrative en raison de son licenciement pour cause de restructuration qui lui avait été signifié avec effet au 31 décembre 2018.</w:t>
      </w:r>
    </w:p>
    <w:p>
      <w:r>
        <w:rPr>
          <w:b/>
        </w:rPr>
        <w:t>E. 9.5.2</w:t>
      </w:r>
    </w:p>
    <w:p>
      <w:r>
        <w:t>Si le « Questionnaire pour l’employeur » du 1er mars 2019 invoque une restructuration comme motif de licenciement de l’assuré (AI pce 33 p. 2 ch. 2.2), le Tribunal constate qu’il ne ressort du dossier aucun autre élé- ment suggérant une restructuration d’entreprise comme motif au licencie- ment du recourant, cela alors même que le dernier jour travaillé par ce dernier l’a été le 21 décembre 2017 et que son congé lui a été signifié avec effet au 31 décembre 2018 (AI pce 33). En outre, l’employeur a indiqué qu’il n’existait aucune possibilité de reclassement dans l’entreprise, que la possibilité d’une mesure de reclassement dans l’entreprise n’avait pas été examinée et qu’il [l’employeur] ne souhaitait pas bénéficier de l'aide de l'assurance-invalidité en vue d’une éventuelle réinsertion d’un employé jus- tifiant de 28 années de services (cf. « Questionnaire pour l’employeur » du 1er mars 2019 [AI pce 33 ch. 2.4-2.5]) et considéré comme particulière- ment agile sur le plan technique (cf. Protocole de 1er entretien des mesures d’intervention précoce du 26 mars 2019 [AI pce 34 p. 2 ]). Aucun des pro- tagonistes à s’être exprimés dans ce dossier (employeur, employé, OAI- F._______) n’a à aucun moment évoqué un risque de restructuration lais- sant redouter le licenciement d’un collaborateur comptabilisant 28 années</w:t>
      </w:r>
    </w:p>
    <w:p>
      <w:r>
        <w:t>C-169/2021 Page 38 de services − à l’état de santé précaire de surcroît − ni en particulier les mesures sociales susceptibles d’encadrer un tel licenciement. Par contre, il ressort du dossier qu’en raison de ses problèmes pulmonaires puis psy- chiques, le recourant a subi des incapacités de travail de plus en plus fré- quentes à partir de 2016, puis une incapacité durable de travail de 50 % à partir de mars 2017 puis de 100 % à partir de juin 2018 entraînant des tensions ayant entaché les rapports de travail avec l’employeur et finale- ment causé des troubles psychiques à l’assuré (cf. rapport du 16 juin 2016 du Dr C._______ [cf. supra lettre B] ; Liste des absences annexée au « Questionnaire pour l’employeur » du 1er mars 2019 [AI pces 33]). Dans ces circonstances, le Tribunal considère comme établi au degré de la vrai- semblance prépondérante que le licenciement de l’assuré est survenu à la suite de ses problèmes de santé et non pas à la suite d’une restructuration d’entreprise et qu’il ne peut être exclu que sans atteinte à la santé, il aurait poursuivi son activité lucrative habituelle auprès de son dernier employeur en qualité d’ouvrier de production travaillant en rotation d’équipes (« Schichtarbeit »). Partant, il convient de se fonder sur le salaire concret réalisé par le recourant auprès de son dernier employeur et non pas sur les salaires statistiques.</w:t>
      </w:r>
    </w:p>
    <w:p>
      <w:r>
        <w:rPr>
          <w:b/>
        </w:rPr>
        <w:t>E. 9.5.3</w:t>
      </w:r>
    </w:p>
    <w:p>
      <w:r>
        <w:t>Les « Questionnaires pour l’employeur » des 1er mars 2019 et 6 juin 2016 établissent que le recourant a réalisé, au service de son dernier em- ployeur, les revenus de CHF 105'966.20 en 2014, CHF 107'388.40 en 2015, CHF 99'075.11 en 2016, CHF 90'712.75 en 2017 et CHF 90'287.50 en 2018. Ce dernier correspond à CHF 82'524.- de salaire fixe, augmenté de 11 % de bonus ([AI pces 9 et 33] ; sur la question des bonus voir art. 25 al. 1 RAI ; art. 5 al. 2 LAVS ; arrêt TF 8C_310/2018 du 18 décembre 2018 consid. 7.3.1 ; arrêt TAF C-1132/2018 du 2 novembre 2022 consid. 7.4.2 ; CR-LPGA, MARGIT MOSER-SZELESS, art. 16 N 20). De l’avis du Tribunal, il convient d’y ajouter la prime de CHF 18'188.20 versée en sus du salaire fixe afin de compenser la pénibilité liée au travail en rotation d’équipes (« Schichtarbeit ») (AI pces 19-21). En effet, il ressort du Protocole final des mesures d’intervention précoce du 6 décembre 2016 que l’assuré avait alors pu conserver son travail à plein temps auprès du même employeur moyennant l’abandon du travail en rotation d’équipes (« Schichtarbeit ») et du versement de la prime de salaire de CHF 18'188.20 lié à celui-ci (AI pce 9). Aussi le Tribunal considère-t-il que, sans atteinte à la santé, le recourant aurait continué de travailler comme ouvrier de production en rotation d’équipes et de percevoir la prime correspondante de CHF 18'188.20. Le salaire sans invalidité de CHF 108'475.70 en résultant (CHF 90'287.50 + CHF 18'188.20) en 2018, adapté au renchérissement de + 0,5 % pour l’an- née 2019 et de 0,5 % pour l’année 2020 (cf. tableau de l’indice suisse des</w:t>
      </w:r>
    </w:p>
    <w:p>
      <w:r>
        <w:t>C-169/2021 Page 39 salaires [période 2015-2023], ligne 19-21 production chimique et pharma- ceutique, de l’Office fédéral des statistiques), s’élève ainsi à CHF 109'563.15 en 2020, année déterminante pour la diminution du droit à la rente (cf. consid. 6.3.3 supra). En prenant en considération le dernier sa- laire réalisé par l’assuré en 2015 – soit avant qu’il ne doive abandonner, en raison de ses problèmes de santé, le travail en rotation d’équipes et perdre la prime correspondante de CHF 18'188.20 − de CHF 107'388.40 adapté au renchérissement des années 2015 à 2020 (+0.2 % en 2016, -0.3 % en 2017, + 1.1 % en 2018, + 0.5 % en 2019 et + 0.5 % en 2020), l’on obtient un revenu sans validité de CHF 109'547.75. La différence entre les deux revenus précités s’avèrent sans incidence sur l’issue du litige (cf. infra con- sid. 9.5.6).</w:t>
      </w:r>
    </w:p>
    <w:p>
      <w:r>
        <w:rPr>
          <w:b/>
        </w:rPr>
        <w:t>E. 9.5.4</w:t>
      </w:r>
    </w:p>
    <w:p>
      <w:r>
        <w:t>S’agissant du salaire avec invalidité, l’autorité inférieure s’est fondée à juste titre sur les salaires statistiques, dès lors que le recourant n’a pas repris d’activité lucrative depuis l’atteinte invalidante. Le salaire mensuel brut statistique tiré de l’ESS 2018 (table TA1 « TA1 skill level », secteur privé, niveau de compétence 1, statistique « homme », ligne « total ») cor- respond à CHF 5'317.- pour 40 heures par semaine. Adapté à un horaire moyen usuel de la branche de 41.7 heures par semaine (41,7 heures x CHF 5'317.- / 40 heures = CHF 5'543.-) et à l’évolution des salaires nomi- naux de +0.9 % entre 2018 et 2019 (cf. tableau de l’index suisse des sa- laires [période 2015-2023], ligne « total », de l’Office fédéral des statis- tiques), il s’élève à CHF 5'592.80. Le salaire d’invalide déterminant en l’es- pèce s’élève au final à CHF 53'690.80 après avoir été annualisé (CHF 5'592.80 x 12 mois = CHF 67'114.60) et adapté à la capacité résiduelle de travail du recourant de 80 %.</w:t>
      </w:r>
    </w:p>
    <w:p>
      <w:r>
        <w:rPr>
          <w:b/>
        </w:rPr>
        <w:t>E. 9.5.5</w:t>
      </w:r>
    </w:p>
    <w:p>
      <w:r>
        <w:t>S’agissant d’un éventuel abattement du revenu d’invalide, le Tribunal considère que c’est à juste titre que l’autorité inférieure n’a opéré aucun abattement sur le salaire statistique dès lors que les limitations fonction- nelles liées à l’asthme et à la fatigue causées par les apnées obstructives du sommeil ainsi que la recommandation d’un emploi sans exposition à des substances toxiques et/ou hautement allergogènes ont été prises en compte dans l’évaluation de la capacité de travail du recourant réduite à 80 % par les experts (cf. supra consid. 7.2.1 à 7.2.6).</w:t>
      </w:r>
    </w:p>
    <w:p>
      <w:r>
        <w:rPr>
          <w:b/>
        </w:rPr>
        <w:t>E. 9.5.6</w:t>
      </w:r>
    </w:p>
    <w:p>
      <w:r>
        <w:t>Après comparaison des revenus sans et avec invalidité précités (CHF 109'563.15 − CHF 53'690.80 respectivement CHF 109'547.75 − CHF 53'690.80), il appert une perte de gain de CHF 55'872.35.- respectivement de CHF 55'856,95 correspondant à un taux d’invalidité de 51 % dans les deux cas fondant une diminution du droit de l’assuré à une demi-rente à</w:t>
      </w:r>
    </w:p>
    <w:p>
      <w:r>
        <w:t>C-169/2021 Page 40 compter du 1er décembre 2020 et non pas à un quart de rente comme re- tenu par l’OAIE.</w:t>
      </w:r>
    </w:p>
    <w:p>
      <w:r>
        <w:rPr>
          <w:b/>
        </w:rPr>
        <w:t>E. 10</w:t>
      </w:r>
    </w:p>
    <w:p>
      <w:r>
        <w:t>Au demeurant, le Tribunal souligne qu’au regard de l’âge du recourant, né le 8 décembre 1965, celui-ci échappe au champ d'application de la juris- prudence relative aux assurés d'âge avancé et à l’exigibilité de la mise à profit de leur capacité résiduelle de travail. En effet, la question de la mise en valeur sur le marché de l'emploi de la capacité résiduelle de travail pour un assuré proche de l'âge de la retraite s’examine au moment où les do- cuments médicaux permettent d'établir de manière fiable les faits y relatifs (arrêt TF 9C_716/2014 du 19 février 2015 consid. 4.2 ; ATF 138 V 457 con- sid. 3.3 p. 461 s.). Au moment déterminant en l’occurrence– à savoir le 13 août 2020, date du rapport d'expertise pluridisciplinaire –, l’assuré était âgé de 55 ans. Or, cet âge ne correspond pas à celui à partir duquel la jurispru- dence considère qu'il n'existe potentiellement plus de possibilités réalistes de mise en valeur de la capacité résiduelle de travail d’un assuré sur un marché du travail supposé équilibré. Il est en effet admis que le seuil à partir duquel on peut parler d'âge avancé se situe autour de 60 ans (ATF 146 V 16 consid. 7.1 ; 145 V 2 consid. 5.3.1 ; 138 V 457 consid. 3.1 ; arrêt du TF 8C_173/2023 du 23 novembre 2023 consid. 3.3).</w:t>
      </w:r>
    </w:p>
    <w:p>
      <w:r>
        <w:rPr>
          <w:b/>
        </w:rPr>
        <w:t>E. 11</w:t>
      </w:r>
    </w:p>
    <w:p>
      <w:r>
        <w:t>Compte tenu de ce qui précède, le recours se révèle partiellement bien fondé. La décision du 15 décembre 2020 de l’OAIE accordant au recourant une rente entière pour la période du 1er mars 2019 au 30 novembre 2020 est confirmée, tandis que la décision de diminution du droit à la rente du</w:t>
      </w:r>
    </w:p>
    <w:p>
      <w:r>
        <w:rPr>
          <w:b/>
        </w:rPr>
        <w:t>E. 12</w:t>
      </w:r>
    </w:p>
    <w:p>
      <w:r>
        <w:t>Il reste à statuer sur les frais et dépens de la présente procédure de recours.</w:t>
      </w:r>
    </w:p>
    <w:p>
      <w:r>
        <w:rPr>
          <w:b/>
        </w:rPr>
        <w:t>E. 12.1</w:t>
      </w:r>
    </w:p>
    <w:p>
      <w:r>
        <w:t>La procédure de recours en matière d'assurance-invalidité est soumise à des frais judiciaires (art. 69 al. 1bis en lien avec l'art. 69 al. 2 LAI), la partie ayant succombé devant en principe supporter ceux-ci (art. 63 al. 1, 1ère phrase, PA). Si la partie est partiellement déboutée, ces frais sont réduits et, à titre exceptionnel, ils peuvent être entièrement remis (art. 63 al. 1, 2ème et 3ème phrases). L'art. 6 du règlement du 21 février 2008 concernant les frais, dépens et indemnités fixés par le Tribunal administratif fédéral (FITAF, RS 173.320.2) précise que les frais de procédure peuvent être remis totalement ou partiellement à une partie ne bénéficiant pas de l'assistance judiciaire prévue à l'art. 65 PA lorsque (a.) le recours est réglé par un désistement ou une transaction sans avoir causé un travail considérable ou (b.) pour d'autres motifs ayant trait au litige ou à la partie en cause, il ne paraît pas équitable de mettre les frais de procédure à la charge de celle-ci. Aucun frais de procédure n'est mis à la charge des autorités inférieures, ni des autorités fédérales recourantes et déboutées (art. 63 al. 2, 1ère phrase, PA). En l'espèce, le recourant, qui réclamait le maintien de son droit à une rente entière, obtient partiellement gain de cause. Pour autant, les circonstances du cas d'espèce ne justifient pas une remise entière des frais judiciaires. En revanche, les frais de procédure à sa charge seront réduits de moitié et prélevés sur l'avance de frais de 800 francs acquittée par le recourant (TAF pces 2, 4). Le solde de celle-ci lui sera restituée dès l'entrée en force du présent arrêt. Aucun frais de procédure n'est mis à la charge de l'OAIE.</w:t>
      </w:r>
    </w:p>
    <w:p>
      <w:r>
        <w:rPr>
          <w:b/>
        </w:rPr>
        <w:t>E. 12.2</w:t>
      </w:r>
    </w:p>
    <w:p>
      <w:r>
        <w:t>Conformément aux art. 64 al. 1 PA et 7 al. 1 FITAF, le Tribunal peut allouer à la partie ayant entièrement ou partiellement obtenu gain de cause une indemnité pour les frais indispensables et relativement élevés qui lui ont été occasionnés. Le Tribunal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du recourant a dû y consacrer. En l'occurrence, le recourant a été représenté depuis l'introduction du recours jusqu'au 28 mars 2023 par un mandataire qui n'exerçait pas la profession d'avocat. Les écritures de recours n'ont pas dépassé une page (TAF pces 1, 6, 7, 20). En outre, le Comité de protection des travailleurs frontaliers européens représentait déjà le recourant devant l'autorité inférieure (supra lettre C.g), de sorte qu'il connaissait le dossier. Enfin, la procédure de recours est soumise à la maxime inquisitoire (cf. consid. 4.1). En conséquence, il convient d'allouer au recourant, à charge de l'OAIE, une indemnité à titre de dépens fixée à 500.- francs (frais compris ; cf. art. 9 al. 1 let. c FITAF). (Le dispositif figure à la page suivante.)</w:t>
      </w:r>
    </w:p>
    <w:p>
      <w:r>
        <w:rPr>
          <w:b/>
        </w:rPr>
        <w:t>E. 15</w:t>
      </w:r>
    </w:p>
    <w:p>
      <w:r>
        <w:t>décembre 2020 de l’OAIE est réformée en ce sens que l’assuré a droit à une demi-rente d’invalidité à compter du 1er décembre 2020, avec verse- ment d’intérêts moratoires (art. 26 LPGA). 12. Il reste à statuer sur les frais et dépens de la présente procédure de re- cours. 12.1 La procédure de recours en matière d’assurance-invalidité est sou- mise à des frais judiciaires (art. 69 al. 1bis en lien avec l’art. 69 al. 2 LAI), la partie ayant succombé devant en principe supporter ceux-ci (art. 63 al. 1, 1ère phrase, PA). Si la partie est partiellement déboutée, ces frais sont ré- duits et, à titre exceptionnel, ils peuvent être entièrement remis (art. 63 al. 1, 2ème et 3ème phrases). L'art. 6 du règlement du 21 février 2008 concernant les frais, dépens et indemnités fixés par le Tribunal administratif fédéral</w:t>
      </w:r>
    </w:p>
    <w:p>
      <w:r>
        <w:t>C-169/2021 Page 41 (FITAF, RS 173.320.2) précise que les frais de procédure peuvent être re- mis totalement ou partiellement à une partie ne bénéficiant pas de l'assis- tance judiciaire prévue à l'art. 65 PA lorsque (a.) le recours est réglé par un désistement ou une transaction sans avoir causé un travail considérable ou (b.) pour d'autres motifs ayant trait au litige ou à la partie en cause, il ne paraît pas équitable de mettre les frais de procédure à la charge de celle- ci. Aucun frais de procédure n’est mis à la charge des autorités inférieures, ni des autorités fédérales recourantes et déboutées (art. 63 al. 2, 1ère phrase, PA). En l'espèce, le recourant, qui réclamait le maintien de son droit à une rente entière, obtient partiellement gain de cause. Pour autant, les circonstances du cas d’espèce ne justifient pas une remise entière des frais judiciaires. En revanche, les frais de procédure à sa charge seront réduits de moitié et prélevés sur l’avance de frais de 800 francs acquittée par le recourant (TAF pces 2, 4). Le solde de celle-ci lui sera restituée dès l'entrée en force du présent arrêt. Aucun frais de procédure n’est mis à la charge de l’OAIE. 12.2 Conformément aux art. 64 al. 1 PA et 7 al. 1 FITAF, le Tribunal peut allouer à la partie ayant entièrement ou partiellement obtenu gain de cause une indemnité pour les frais indispensables et relativement élevés qui lui ont été occasionnés. Le Tribunal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du recourant a dû y consacrer. En l'occurrence, le recourant a été représenté depuis l’introduction du re- cours jusqu’au 28 mars 2023 par un mandataire qui n'exerçait pas la pro- fession d'avocat. Les écritures de recours n’ont pas dépassé une page (TAF pces 1, 6, 7, 20). En outre, le Comité de protection des travailleurs frontaliers européens représentait déjà le recourant devant l'autorité infé- rieure (supra lettre C.g), de sorte qu’il connaissait le dossier. Enfin, la pro- cédure de recours est soumise à la maxime inquisitoire (cf. consid. 4.1). En conséquence, il convient d'allouer au recourant, à charge de l'OAIE, une indemnité à titre de dépens fixée à 500.- francs (frais compris ; cf. art. 9 al. 1 let. c FITAF).</w:t>
      </w:r>
    </w:p>
    <w:p>
      <w:r>
        <w:t>(Le dispositif figure à la page suivante.)</w:t>
      </w:r>
    </w:p>
    <w:p>
      <w:r>
        <w:t>C-169/2021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