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C-1684/2010 vom 23. Februar 2012</w:t>
      </w:r>
    </w:p>
    <w:p>
      <w:r>
        <w:t>Bundesverwaltungsgericht, 2012-02-23, DE</w:t>
      </w:r>
    </w:p>
    <w:p>
      <w:r>
        <w:rPr>
          <w:b/>
        </w:rPr>
        <w:t xml:space="preserve">Quelle: </w:t>
      </w:r>
      <w:r>
        <w:t>https://mcp.opencaselaw.ch/entscheid/bvger_C-1684_2010</w:t>
      </w:r>
    </w:p>
    <w:p>
      <w:r>
        <w:t>FR: TAF C-1684/2010 du 23 février 2012</w:t>
      </w:r>
    </w:p>
    <w:p>
      <w:r>
        <w:t>IT: TAF C-1684/2010 del 23 febbraio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des Bundesgesetzes vom 6. Oktober 2000 über den Allgemeinen Teil des Sozialversicherungsrechts [ATSG, SR 830.1] und Art. 52 Abs. 1 VwVG). Als Adressatin der angefochtenen Verfügung vom 16. Februar 2010 (act. 141)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1.4</w:t>
      </w:r>
    </w:p>
    <w:p>
      <w:r>
        <w:t>Anfechtungsobjekt bildet die Verfügung der Vorinstanz vom 16. Februar 2010 (act. 141), mit welcher das Rentenbegehren der Beschwerdeführerin erneut abgewiesen worden war. Streitig und zu prüfen ist die Rechtmässigkeit dieser Abweisung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Die Beschwerdeführerin ist Staatsangehörige von Bosnien und Herzegowina und hat dort ihren Wohnsitz (vgl. Bst. A. hiervor).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(vgl. BGE 126 V 198 E. 2b, BGE 122 V 381 E. 1, BGE 119 V 98 E. 3). Nach Art. 2 des Abkommens stehen die Staats­ange­hörigen der Vertragsstaaten in ihren Rechten und Pflichten aus den in Art. 1 des Ab­kommens genann­ten Rechtsberei­chen, zu welchen auch die schweizerische Bundesgesetzgebung über die IV ge­hört, einander gleich, soweit nichts anderes bestimmt ist. Hin­sichtlich der Voraus­setzun­gen des Anspruchs auf eine schwei­ze­rische IV-Rente sowie der anwendb­aren Ver­fahrensvorschriften sieht das A­bkommen über Sozialversic­herung keine im vor­liegenden Ver­fah­ren relevanten Abwei­chungen vom Grund­satz der Gleichstellung vor.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 AHI-Praxis 1996, S. 179).</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16. Februar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2.3.1</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w:t>
      </w:r>
    </w:p>
    <w:p>
      <w:r>
        <w:rPr>
          <w:b/>
        </w:rPr>
        <w:t>E. 2.3.2</w:t>
      </w:r>
    </w:p>
    <w:p>
      <w:r>
        <w:t>Die Beschwerdeführerin hat unbestrittenermassen während mehr als einem Jahr Beiträge an die schweizerische Alters-, Hinterlassenen- und Invali­denversicherung geleistet, so dass die Voraussetzung der Mindestbei­tragsdauer für den Anspruch auf eine ordentliche Invalidenrente gemäss Art. 36 Abs. 1 IVG in der bis zum 31. Dezember 2007 gültig gewesenen Fassung erfüllt ist, sofern der Versicherungsfall vor dem 1. Januar 2008 eingetreten ist. Bei Eintreten des Versicherungsfalls seit dem 1. Januar 2008 wäre die versicherungsmässige Voraussetzung von Art. 36 Abs. 1 IVG in der seit 1. Januar 2008 geltenden Fassung der dreijährigen Beitragszeit nicht erfüllt.</w:t>
      </w:r>
    </w:p>
    <w:p>
      <w:r>
        <w:rPr>
          <w:b/>
        </w:rPr>
        <w:t>E. 2.4</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2.5.1</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2.5.2</w:t>
      </w:r>
    </w:p>
    <w:p>
      <w:r>
        <w:t>Gemäss dem Bericht von Dr. med. E._______, Fachärztin für Innere Medizin, vom 18. November 2005 lag bei der Beschwerdeführerin eine 41%ige Arbeitsunfähigkeit ab dem 17. Januar 2003 vor (act. 45 und 46). Dr. med. B._______ hingegen war der Auffassung, dass die Gesamteinschränkung im Haushalt 34 % betrug (act. 60). Da ab dem 17. Januar 2003 während der einjährigen gesetzlichen Wartezeit resp. bei deren Ablauf am 17. Januar 2004 bloss eine höchstens 41%ige Arbeitsunfähigkeit - was im rechtskräftigen Entscheid des Bundesverwaltungsgerichts vom 6. Januar 2009 nicht in Zweifel gezogen worden war - bestanden hatte, waren aufgrund des oben Dargelegten die Anspruchsvoraussetzungen auf eine IV-Rente bei der bosnisch-herzegowinischen Beschwerdeführerin nicht erfüllt; diese war nicht während eines Jahres ohne wesentli­chen Unterbruch durch­schnittlich mindestens 50 % arbeitsunfähig und auch nach Ablauf die­ses Jahres zu min­destens 50 % invalid. Daran ändert auch die im Juli 2007 eingetretene Verschlechterung des Gesundheitszustandes nichts (vgl. E. 4.3 hiernach).</w:t>
      </w:r>
    </w:p>
    <w:p>
      <w:r>
        <w:rPr>
          <w:b/>
        </w:rPr>
        <w:t>E. 2.6</w:t>
      </w:r>
    </w:p>
    <w:p>
      <w:r>
        <w:t>Bei den nichterwerbstätigen Versicherten im Sinne von Art. 5 Abs. 1 IVG i.V.m. Art. 8 Abs. 3 ATSG, welche im Aufgabenbereich tätig sind und denen die Aufnahme einer Erwerbstätigkeit nicht zugemutet werden kann, ist ein Betätigungsvergleich vorzunehmen und für die Bemessung der Invalidität in Abweichung von Art. 16 ATSG darauf abzustellen, in welchem Masse sie behindert sind, sich im Aufgabenbereich zu betätigen (aArt. 28 Abs. 2bis IVG bzw. seit 1. Januar 2008 Art. 28a Abs. 2 IVG; spezifische Methode; BGE 104 V 135 E. 2a). Als Aufgabenbereich der im Haushalt tätigen Versicherten gelten insbesondere die übliche Tätigkeit im Haushalt, die Erziehung der Kinder sowie gemeinnützige und künstlerische Tätigkeiten (Art. 27 IVV).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 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w:t>
      </w:r>
    </w:p>
    <w:p>
      <w:r>
        <w:rPr>
          <w:b/>
        </w:rPr>
        <w:t>E. 3.1</w:t>
      </w:r>
    </w:p>
    <w:p>
      <w:r>
        <w:t>Im Entscheid des Bundesverwaltungsgerichts vom 6. Januar 2009 wurde erwogen, dass die Invalidität nicht ohne weiteres nach der Methode des Betätigungsvergleichs bemessen werden könne, denn gemäss eigener Angaben der Beschwerdeführerin habe diese bis zur Verschlechterung ihres Gesundheitszustandes täglich vier Stunden im landwirtschaftlichen Betrieb des Ehemannes mitgearbeitet. Daher seien die Voraus-setzungen für die Anwendung der gemischten Methode zur Bestimmung der Invalidität gegeben, und die Vorinstanz hätte vom medizinischen Dienst auch beurteilen lassen müssen, in welchem Masse die Beschwerdeführerin in ihrer früheren Tätigkeit in der Landwirtschaft eingeschränkt sei (act. 96).</w:t>
      </w:r>
    </w:p>
    <w:p>
      <w:r>
        <w:rPr>
          <w:b/>
        </w:rPr>
        <w:t>E. 3.2</w:t>
      </w:r>
    </w:p>
    <w:p>
      <w:r>
        <w:t>Die Vorinstanz nahm in der Folge weitere Abklärungen vor und war der Auffassung, dass die Beschwerdeführerin gemäss den neu eingeholten Unterlagen vier Stunden pro Tag im Gemüsegarten gearbeitet habe und nicht - wie vorerst angegeben - vier Stunden täglich im landwirtschaftlichen Betrieb des Ehemannes, weshalb die Invalidität nach wie vor nach der spezifischen Methode zu bemessen sei (act. 126). Diese Beurteilung lässt sich mit Blick auf den Fragebogen für selbstständige Landwirte vom 7. August 2009 nicht beanstanden (act. 107). Darin führte die Beschwerdeführerin aus, sie sei nie selbstständige Landwirtin gewesen, habe nie Land besessen und es habe kein Betrieb existiert. Der landwirtschaftlich genutzte Boden sei der Gemüsegarten gewesen. Nichts anderes ergibt sich auch aus dem Fragebogen für die im Haushalt tätigen Versicherten vom 7. August 2009 (act. 106). Auch darin gab die Beschwerdeführerin an, sie habe sich täglich während vier Stunden um den Gemüsegarten gekümmert.</w:t>
      </w:r>
    </w:p>
    <w:p>
      <w:r>
        <w:rPr>
          <w:b/>
        </w:rPr>
        <w:t>E. 3.3</w:t>
      </w:r>
    </w:p>
    <w:p>
      <w:r>
        <w:t>Nach dem Dargelegten ist als Zwischenergebnis festzuhalten, dass die Invalidität der Beschwerdeführerin nach wie vor mittels Betätigungsvergleichs zu ermitteln ist und sich unter diesen Umständen die medizinische Abklärung, inwieweit die Beschwerdeführerin in der Landwirtschaft eingeschränkt ist, erübrigt hatte.</w:t>
      </w:r>
    </w:p>
    <w:p>
      <w:r>
        <w:rPr>
          <w:b/>
        </w:rPr>
        <w:t>E. 4.1</w:t>
      </w:r>
    </w:p>
    <w:p>
      <w:r>
        <w:t>Das Bundesverwaltungsgericht erwog in seinem Urteil vom 6. Januar 2009 (act. 96) weiter, dass die Beurteilung des Gesundheitszustandes der Beschwerdeführerin und dessen Auswirkungen auf die Tätigkeit im Haushalt aufgrund der Berichte von Dr. med. B._______ vom 16. November 2006 (act. 60) und 26. März 2007 (act. 88) umfassend und nachvollziehbar sei. Es ist demnach auch im vorliegenden Verfahren davon auszugehen, dass sich der medizinische Sachverhalt bis und mit dem 26. März 2007 als rechtsgenüglich abgeklärt erweist. Nachfolgend ist jedoch weiter zu prüfen, ob sich der Gesundheitszustand bis zum vorliegend massgeblichen Zeitpunkt (16. Februar 2010) in rentenrelevanter Weise verschlechtert hat oder nicht resp. ob die Anspruchsvoraussetzungen auf eine Rente erfüllt sind oder nicht (vgl. insb. E. 2.5 hiervor).</w:t>
      </w:r>
    </w:p>
    <w:p>
      <w:r>
        <w:rPr>
          <w:b/>
        </w:rPr>
        <w:t>E. 4.2</w:t>
      </w:r>
    </w:p>
    <w:p>
      <w:r>
        <w:t>Die IVSTA stützte sich im Rahmen des Erlasses der angefochtenen Verfügung vom 16. Februar 2010 insbesondere auf die Stellungnahmen des RAD-Arztes Dr. med. B._______ vom 18. September (act. 127) und 11. Dezember 2009 (act. 135) sowie auf den Bericht von Dr. med. C._______ vom 9. Februar 2010 (act. 140). Diese ärztlichen Dokumente sind in einem ersten Schritt zu würdigen, und es ist zu prüfen, ob sich aufgrund dieser Beweismittel der Sachverhalt in medizinischer Hinsicht ab März 2007 als rechts­genüglich abgeklärt erweist.</w:t>
      </w:r>
    </w:p>
    <w:p>
      <w:r>
        <w:rPr>
          <w:b/>
        </w:rPr>
        <w:t>E. 4.3.1</w:t>
      </w:r>
    </w:p>
    <w:p>
      <w:r>
        <w:t>Nach Vorliegen neu eingereichter ärztlicher Dokumente aus dem Ausland (act. 109 bis 124) führte Dr. med. B._______ am 18. September 2009 aus, grundsätzlich habe sich der Gesundheitszustand seit der letzten Stellungnahme vom 26. März 2007 nicht geändert. Es würden dieselben Diagnosen (Rücken, depressive Zeichen, Zustand nach Magenoperation vor Jahren) mitgeteilt. Somit bleibe auch die Beurteilung der Arbeitsfähigkeit im Haushalt eigentlich gleich, d.h. die Auswertung gemäss Stellungnahme vom 16. November 2006 (Invalidität höchstens 34 %) treffe weiterhin zu (act. 127). Im Rahmen des Vorbescheidverfahrens erwähnte Dr. med. B._______ am 11. Dezember 2009 weiter, er bezweifle angesichts der Vorgeschichte nach wie vor, dass die Versicherte bei der Bewältigung des Haushalts aus psychiatrischer Sicht mindestens zu 40 % eingeschränkt sein soll. Er halte somit klar an seinen bisherigen Stellungnahmen fest. Er empfehle, die letzten Berichte übersetzen zu lassen. Im Anschluss daran überlasse er den Entschied, das Dossier noch dem Psychiater vorzulegen, der Sachbearbeitung (act. 135). Nach Kenntnis der übersetzten Berichte des Neuropsychiaters Dr. med. D._______ vom 10. Juli 2007, 2. März 2008, 10. November 2008 sowie 23. Januar 2009 (act. 136 bis 138) gab Dr. med. C._______ am 9. Februar 2010 seine Stellungnahme ab (act. 140). Darin führte er im Wesentlichen aus, es sei zu vermuten, dass in der Zeit um Juli 2007 eine sehr erhebliche Depression bestanden habe, die Dr. med. D._______ nach der alten Terminologie als "psychotische Depression" bezeichnet habe. Diesem Zustand entsprächen häufig folgende Diagnosen: mittelschwere depressive Episode mit somatischem Syndrom (ICD-10: F32.11), schwere depressive Episode ohne psychotische Symptome (ICD-10: F32.2; in der neuen Terminologie seien mit psychotischen Symptomen nur Wahnideen und Halluzinationen gemeint) sowie eine schwere depressive Episode mit psychotischen Symptomen (ICD-10: F32.3). Dr. med. D._______ habe diesen Zustand mit dem stärksten verfügbaren Medikament (Leponex) behandelt, welches auch bei (endogenen) Depressionen hervorragend wirke, aber wegen seiner gefährlichen Nebenwirkungen in der Schweiz nur bei therapierefrektären Schizophrenien zugelassen sei. Im Verlauf des Jahres 2008 habe sich der Zustand - bei erheblicher Reduzierung der Medikamentendosis - graduell verbessert. Ab dem 10. November 2008 könne man nicht mehr von einem schwerwiegenden Zustand sprechen, und am 23. Januar 2009 finde sich keine Rezeptur von Leponex mehr. Dr. med. D._______ habe aber die Diagnose, die dem Zustand von Juli 2007 entsprochen habe, beibehalten und nicht dem verbesserten Zustand angepasst. Der letzte Bericht vom 23. Januar 2009 zeuge vermutlich von einer weitgehenden Remission. Einzig der Bericht vom 10. Juli 2007 zeuge von einem Umstand, der auch im Haushalt stark beeinträchtige. Die drei Berichte vom 2. März 2008, 10. November 2008 und 23. Januar 2009 zeugten nicht von einem die Haushaltstätigkeit im Ausmass von 40 % oder mehr beeinträchtigenden Zustand.</w:t>
      </w:r>
    </w:p>
    <w:p>
      <w:r>
        <w:rPr>
          <w:b/>
        </w:rPr>
        <w:t>E. 4.3.2</w:t>
      </w:r>
    </w:p>
    <w:p>
      <w:r>
        <w:t>Bei der Stellungnahme von Dr. med. C._______ vom 9. Februar 2010 handelt es sich um einen Bericht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4.3.3</w:t>
      </w:r>
    </w:p>
    <w:p>
      <w:r>
        <w:t>Wie bereits dargelegt wurde (vgl. E. 2.7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Dr. med. C._______ verfügt über einen Facharzttitel in der medizinischen Disziplin Psychiatrie und Psychotherapie, weshalb seiner Stellungnahme vom 9. Februar 2010 volle Beweiskraft zukommen kann, wenn die von der bundesgerichtlichen Rechtsprechung herausgearbeiteten Kriterien erfüllt sind. Daran besteht im vorliegenden Fall kein Zweifel, und der entsprechende Bericht vom 9. Februar 2010 ist als überzeugend und schlüssig zu qualifizieren. Da Dr. med. C._______ die Berichte des behandelnden Neuropsychiaters Dr. med. D._______ zur Verfügung gestanden hatten, konnte im Rahmen des vorliegend zu beurteilenden Falles auf das Einholen von weiteren Berichten entsprechend ausgebildeter Spezialärztinnen und -ärzte verzichtet werden. In diesem Zusammenhang ist ergänzend darauf hinzuweisen, dass auf die von Dr. med. D._______ abgegebenen Beurteilungen der Arbeits- und Leistungsfähigkeit in den ab 2. März 2008 erstellten Berichten nicht abgestellt werden kann. Einerseits fehlt eine nachvollziehbare und schlüssige Begründung für eine vollständige Arbeitsunfähigkeit. Andererseits trägt das Bundesverwaltungsgericht der Ver­schiedenheit von Be­handlungs- und Be­gutachtungsauftrag (vgl. Urteil des Bundesgerichts 9C_24/2008 vom 27. Mai 2008 E. 2.3.2 mit Hinweisen) sowie der Erfahrungstatsache Rechnung, dass Dr. med. D._______ als behandelnder (Haus-)Arzt im Hinblick auf seine auftragsrechtliche Ver­trauensstellung eher zugunsten der Beschwer­deführerin ausgesagt hatte (BGE 125 V 351 E. 3b cc). Dr. med. C._______ attestierte der Beschwerdeführerin für Tätigkeiten im Haushalt für die Zeit vom 10. Juli 2007 bis zum 1. März 2008 eine 70%ige und danach eine 20%ige Arbeits- und Leistungsunfähigkeit aus psychiatrischer Sicht. Diese Beurteilung ist mit Blick auf die gesundheitlichen Beeinträchtigungen der Beschwerdeführerin in psychischer Hinsicht nachvollziehbar, und es ist - aufgrund der objektiven Festlegung der IV-rechtlich massgebenden funktionellen Leistungsfähigkeit (vgl. E. 2.7 und insb. E. 4.3.2. hiervor; vgl. auch Urteil des BGer 9C_1053/2010 vom 28. Januar 2011) - von einem genügend detaillierten und somit rechtsgenüglichen Zumutbarkeitsprofil auszugehen, obwohl Dr. med. C._______ keine explizite, anteilsmässige Gewichtung der einzelnen Haushaltstätigkeiten vorgenommen hat; dies insbesondere deshalb, weil er Bezug auf die zahlreichen Berichte der Dres. med. B._______ und E._______ (act. 45, 46, 60, 88, 127 und 135) genommen und ausgeführt hat, dass die zwischen dem 2. März 2008 und 23. Januar 2009 erstellten Berichte nicht von einem die Tätigkeit im eigenen Haushalt im Ausmass von 40 % oder mehr beeinträchtigenden Zustand zeugten. Dies gilt umso mehr, als die Beschwerdeführerin ihre Arbeiten entsprechend einzuteilen und die Mithilfe ihres Ehemannes und ihres noch zu Hause wohnenden erwachsenen Sohnes in Anspruch zu nehmen hat (vgl. act. 9 und 106), wobei die Mithilfe dieser Familienangehörigen weiter geht als der übliche Umfang, den man erwarten darf, wenn die versicherte Person nicht an einem Gesundheitsschaden leiden würde (vgl. Urteil des EVG I 257/04 vom 17. März 2005 E. 5.4.3 ff. und BGE 130 V 97, E. 3.3.3). Da sich der Gesundheitszustand der Beschwerdeführerin graduell verbessert hatte, ergibt sich aus den Beurteilungen von Dr. med. C._______, wonach die Versicherte im Aufgabenbereich ab März 2008 nicht zu 40 % oder darüber hinaus eingeschränkt sei und ab dem 10. November 2008 nicht mehr von einem schwerwiegenden Zustand gesprochen werden könne, kein Widerspruch.</w:t>
      </w:r>
    </w:p>
    <w:p>
      <w:r>
        <w:rPr>
          <w:b/>
        </w:rPr>
        <w:t>E. 4.3.4</w:t>
      </w:r>
    </w:p>
    <w:p>
      <w:r>
        <w:t>Nach dem Dargelegten ist rechtsgenüglich erstellt, dass sich zwar der gesundheitliche Zustand der Beschwerdeführerin in psychischer Hinsicht vom 10. Juli 2007 bis zum 1. März 2008 zwischenzeitlich erheblich verschlechtert hatte, jedoch im massgebenden Zeitpunkt der angefochtenen Verfügung vom 16. Februar 2010 keine Verschlechterung mehr vorhanden gewesen war resp. die Beschwerdeführerin im Haushaltsbereich weiterhin nicht in rentenrelevantem Ausmass eingeschränkt ist. Mit anderen Worten war die Beschwerdeführerin ab dem 10. Juli 2007 nicht während eines Jahres ohne wesentli­chen Unterbruch durch­schnittlich mindestens zu 50 % arbeitsunfähig. Auch nach Ablauf die­ses Jahres war sie nicht min­destens zu 50 % invalid, so dass kein Rentenanspruch entstand (vgl. zum Ganzen insb. E. 2.5 hiervor).</w:t>
      </w:r>
    </w:p>
    <w:p>
      <w:r>
        <w:rPr>
          <w:b/>
        </w:rPr>
        <w:t>E. 5</w:t>
      </w:r>
    </w:p>
    <w:p>
      <w:r>
        <w:t>Aufgrund der vorstehenden Erwägungen ist zusammenfassend festzuhalten, dass sich die angefochtene Verfügung vom 16. Februar 2010 als rechtens erweist, weshalb die dagegen erhobene Beschwerde vom 17. März 2010 abzuweisen ist.</w:t>
      </w:r>
    </w:p>
    <w:p>
      <w:r>
        <w:rPr>
          <w:b/>
        </w:rPr>
        <w:t>E. 6</w:t>
      </w:r>
    </w:p>
    <w:p>
      <w:r>
        <w:t>Zu befinden bleibt noch über die Verfahrenskosten und eine allfällige Parteientschädigung.</w:t>
      </w:r>
    </w:p>
    <w:p>
      <w:r>
        <w:rPr>
          <w:b/>
        </w:rPr>
        <w:t>E. 6.1</w:t>
      </w:r>
    </w:p>
    <w:p>
      <w:r>
        <w:t>Die Verfahrenskosten sind der unterliegenden Beschwerdeführerin aufzuerlegen (Art. Art. 63 Abs. 1 VwVG). Sie werden unter Be­rück­sichtigung des Umfanges und der Schwierigkeit der Streit­sache sowie insbesondere der Art der Prozessführung auf Fr. 300.- festgesetzt (vgl. Art. 63 Abs. 4bis VwVG in Ver­bindung mit Art. 1, Art. 2 Abs. 1 und 2 sowie Art. 4 des Reglements über die Kosten und Entschä­di­gungen vor dem Bundesverwaltungs­gericht [VGKE, SR 173.320.2]) und sind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weshalb keine Parteientschädigung zuzusprechen ist.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