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C-1683/2007 vom 15. Dezember 2009</w:t>
      </w:r>
    </w:p>
    <w:p>
      <w:r>
        <w:t>Bundesverwaltungsgericht, 2009-12-15, DE</w:t>
      </w:r>
    </w:p>
    <w:p>
      <w:r>
        <w:rPr>
          <w:b/>
        </w:rPr>
        <w:t xml:space="preserve">Quelle: </w:t>
      </w:r>
      <w:r>
        <w:t>https://mcp.opencaselaw.ch/entscheid/bvger_C-1683_2007</w:t>
      </w:r>
    </w:p>
    <w:p>
      <w:r>
        <w:t>FR: TAF C-1683/2007 du 15 décembre 2009</w:t>
      </w:r>
    </w:p>
    <w:p>
      <w:r>
        <w:t>IT: TAF C-1683/2007 del 15 dicembre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entscheidserhebliche Sachverhalt erschliesst sich, wie nachfolgend zu zeigen sein wird, in genügender Weise aus den Akten. Von Beweiserhebungen, die der Beschwerdeführer nicht weiter begründet auf Rechtsmittelebene beantragt (Parteibefragung und Zeugeneinvernahme seiner geschiedenen Ehefrau), kann in antizipierter Beweiswürdigung ohne Verletzung des rechtlichen Gehörs abgesehen werden (vgl. Art. 33 Abs. 1 VwVG; BGE 131 I 153 E. 3 S. 157 mit Hinweisen; statt mehrerer anderer vgl. auch Urteil des Bundesgerichts 1C_460/2008 vom 3. Februar 2009 E.3).</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4.2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5.2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6</w:t>
      </w:r>
    </w:p>
    <w:p>
      <w:r>
        <w:t>Die erleichterte Einbürgerung des Beschwerdeführers wurde innert der gesetzlichen Frist von 5 Jahren und mit Zustimmung des Heimatkantons Wallis für nichtig erklärt. Die formellen Voraussetzungen gemäss Art. 41 Abs. 1 BüG für eine Nichtigerklärung sind somit erfüllt.</w:t>
      </w:r>
    </w:p>
    <w:p>
      <w:r>
        <w:rPr>
          <w:b/>
        </w:rPr>
        <w:t>E. 7.1</w:t>
      </w:r>
    </w:p>
    <w:p>
      <w:r>
        <w:t>Aus den Akten ergibt sich der folgende unbestrittene Sachverhalt: Vor dem Eheschluss mit einer Schweizer Bürgerin im Juni 1997 lebte der Beschwerdeführer während mehreren Jahren in einem eheähnlichen Verhältnis mit einer Partnerin aus dem ehemaligen Jugoslawien zusammen, die ihm zwei Kinder schenkte. Am 18. April 2001 ersuchte der Beschwerdeführer um erleichterte Einbürgerung. Drei Monate später, im Juli 2001, schwängerte er seine ehemalige Lebensgefährtin. Am 14. Dezember 2001 gaben der Beschwerdeführer und seine schweizerische Ehefrau die gemeinsame Erklärung zum Zustand der ehelichen Gemeinschaft ab und am 27. Februar 2002 erfolgte die erleichterte Einbürgerung. Praktisch unmittelbar darauf, im März 2002, reiste die ehemalige Lebenspartnerin des Beschwerdeführers hochschwanger in die Schweiz, um hier das Kind auf die Welt zu bringen. Sie zog in eine Wohnung in Visp, die der Beschwerdeführer ein halbes Jahr zuvor angemietet hatte und in der bereits die beiden älteren Kinder aus seiner Beziehung zur ehemaligen Lebensgefährtin lebten. Nach der Niederkunft am 13. April 2002 blieb sie mit dem Neugeborenen in der Wohnung und kümmerte sich um die Kinder. Der Beschwerdeführer selbst meldete sich per 30. Juni 2002 an der ehelichen Adresse in U._______ ab und per 1. Juli 2002 in Visp an. Die Meldeverhältnisse seiner Ehefrau blieben dagegen unverändert. Spätestens ab dem 1. Juli 2002 wohnte der Beschwerdeführer zusammen mit seiner ehemaligen Lebensgefährtin und den drei Kindern im gemeinsamen Haushalt, bis die Partnerin wegen illegalem Aufenthalt per 17. Dezember 2003 das Land verlassen musste. Zwei Jahre später, am 6. Dezember 2005, waren der Beschwerdeführer und seine schweizerische Ehefrau rechtskräftig geschieden und nach weiteren drei Wochen, am 27. Dezember 2005, heiratete der Beschwerdeführer in Mazedonien seine Lebensgefährtin.</w:t>
      </w:r>
    </w:p>
    <w:p>
      <w:r>
        <w:rPr>
          <w:b/>
        </w:rPr>
        <w:t>E. 7.2</w:t>
      </w:r>
    </w:p>
    <w:p>
      <w:r>
        <w:t>Diese Ereignisse, beginnend mit der Zeugung eines ausserehelichen Kindes im Juli 2001, sich fortsetzend mit dem unmittelbar nach der erleichterten Einbürgerung des Beschwerdeführers erfolgten illegalen Nachzug der hochschwangeren ehemaligen Lebenspartnerin in die Schweiz, wo sie das Kind zur Welt brachte und alsdann in einer gemeinsamen Wohnung das Familienleben mit ihm sowie den drei gemeinsamen Kindern aufnahm, und endend im Dezember 2005 mit der Scheidung des Beschwerdeführers von der schweizerischen Ehefrau und seiner Wiederverheiratung mit der ehemaligen Lebenspartnerin und Mutter seiner drei Kinder, sind ohne weiteres geeignet, die natürliche Vermutung zu begründen, dass die Ehe des Beschwerdeführers zum Zeitpunkt der gemeinsamen Erklärung der Ehegatten vom 14. Dezember 2001 und der erleichterten Einbürgerung vom 27. Februar 2002 nicht intakt war. Die Vermutung wird durch das Aussageverhalten verstärkt, das der Beschwerdeführer und seine schweizerische Ehefrau anlässlich einer von der kantonalen Behörde im Vorfeld des Nichtigkeitsverfahrens veranlassten Befragung durch das Gemeinderichteramt U._______ vom 28. September 2002 an den Tag legten. Nicht nur fielen ihre Antworten auffallend vage und ausweichend aus. Beide versuchten darüber hinaus, die Behörden über wesentliche Elemente des Sachverhalts zu täuschen. So behaupteten sie übereinstimmend, dass ihre drei Kinder in Visp beim Bruder des Beschwerdeführers und dessen Ehefrau leben würden, und der Beschwerdeführer gab vor, er wisse nicht, wo sich seine ehemalige Lebensgefährtin aufhalte, wahrscheinlich aber in Kroatien. In Wirklichkeit lebten der Beschwerdeführer, seine Lebensgefährtin und die drei gemeinsamen Kinder zu diesem Zeitpunkt in einer Mietwohnung in Visp, wie der Beschwerdeführer in seiner Rechtsmittelschrift selbst einräumt. Dasselbe ergibt sich aus den polizeilichen Einvernahmen des Beschwerdeführers und seiner Lebensgefährtin, die am 23. Juni 2003 im Zusammenhang mit den Erhebungen wegen illegalen Aufenthalts der letzteren durchgeführt wurden. Dieselbe Tendenz, die Beziehung zu seiner Lebensgefährtin gegenüber den Behörden zu verschleiern, zeigte der Beschwerdeführer bereits zu einem früheren Zeitpunkt. Gemäss dem Auskunftsbericht der Kantonspolizei Wallis vom 26. November 2001, der zu Handen des Einbürgerungsverfahrens erstellt wurde, gab der Beschwerdeführer vor, er kenne weder den genauen Aufenthaltsort noch die genaue Tätigkeit seiner ehemaligen Lebensgefährtin. In der angefochtenen Verfügung erachtet die Vorinstanz das angebliche Unwissen des Beschwerdeführers als nicht glaubhaft. Zu Recht wendet sich der Beschwerdeführer in seiner Rechtsmittelschrift nicht gegen diese Würdigung. Tatsache ist nämlich, dass seine Lebensgefährtin in der bereits erwähnten polizeilichen Einvernahme vom 23. Juni 2003 zu Protokoll gab, sie habe den Beschwerdeführer im August 2001 in der Schweiz besucht und ihm eröffnet, dass sie von ihm schwanger sei. Nach einer Woche sei sie nach Kroatien zurückgekehrt. Mit dem Beschwerdeführer und den zwei Kindern, die sich zu diesem Zeitpunkt bereits in der Schweiz aufgehalten hätten, habe sie in der Folge regelmässigen telefonischen Kontakt gehabt. Der Beschwerdeführer ist denn auch nicht in der Lage, einen alternativen Geschehensablauf plausibel zu machen. Er versucht es gar nicht erst. Im Verfahren vor der Vorinstanz verweigerte er die Stellungnahme zum Sachverhalt, ignorierte die Aufforderung der Vorinstanz, sein Einverständnis zum Beizug der Scheidungsakten zu geben und verletzte damit in grober Weise seine Mitwirkungspflichten (vgl. Urteil des Bundesgerichts 5A.9/2006 vom 7. Juli 2006 E. 2.4.1). Auf Beschwerdeebene beschränkt er sich darauf, die Intaktheit der Ehe zu behaupten und in allgemeiner Weise darauf hinzuweisen, dass aussereheliche sexuelle Kontakte nicht notwendigerweise das Scheitern einer Ehe zur Folge haben müssten. Das mag zwar zutreffen, hat jedoch mit der konkreten Situation des Beschwerdeführers nichts zu tun. Seine Ehe ist gescheitert, und sein Verhältnis zur heutigen Ehefrau und Mutter der drei gemeinsamen Kinder kann kaum adäquat als "ausserehelicher sexueller Kontakt" beschrieben werden.</w:t>
      </w:r>
    </w:p>
    <w:p>
      <w:r>
        <w:rPr>
          <w:b/>
        </w:rPr>
        <w:t>E. 7.3</w:t>
      </w:r>
    </w:p>
    <w:p>
      <w:r>
        <w:t>Dem Beschwerdeführer ist es somit nicht gelungen,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Denselben Tatbestand erachtet das Bundesverwaltungsgericht als erfüllt, indem der Beschwerdeführer der Einbürgerungsbehörde den Umstand verschwieg, dass er ausserehelich ein Kind gezeugt hatte, und ihr damit eine Tatsache vorenthielt, die seine erleichterte Einbürgerung zum damaligen Zeitpunkt verhindert hätte (vgl. dazu Urteil des Bundesgerichts 1C_379/2007 vom 7. Dezember 2007 E. 7). Die materiellen Voraussetzungen für die Nichtigerklärung der erleichterten Einbürgerung sind somit erfüllt.</w:t>
      </w:r>
    </w:p>
    <w:p>
      <w:r>
        <w:rPr>
          <w:b/>
        </w:rPr>
        <w:t>E. 8</w:t>
      </w:r>
    </w:p>
    <w:p>
      <w:r>
        <w:t>Gemäss Art. 41 Abs. 3 BüG erstreckt sich die Nichtigkeit auf alle Familienmitglieder, deren Schweizer Bürgerrecht auf der nichtig erklärten Einbürgerung beruht, sofern nicht ausdrücklich anders verfügt wird. Es kann davon ausgegangen werden, dass das Kind E._______ mit dem am 27. Dezember 2005 erfolgten Eheschluss seiner Eltern gestützt auf Art. 1 Abs. 2 BüG in der damals geltenden Fassung (AS 1991 1034 1043) von Gesetzes wegen das Schweizer Bürgerrecht erwarb. Gründe, die es rechtfertigen würden, das Kind von der Wirkung der Nichtigerklärung auszunahmen, sind weder ersichtlich, noch werden solche geltend gemacht. Insbesondere ist nicht anzunehmen, dass ihm die Staatenlosigkeit droht, falls es von den Wirkungen der Nichtigerklärung nicht ausgenommen wird. Die angefochtene Verfügung ist auch in diesem Zusammenhang nicht zu beanstanden.</w:t>
      </w:r>
    </w:p>
    <w:p>
      <w:r>
        <w:rPr>
          <w:b/>
        </w:rPr>
        <w:t>E. 9</w:t>
      </w:r>
    </w:p>
    <w:p>
      <w:r>
        <w:t>Die angefochtene Verfügung erweist sich demnach als rechtmässig (Art. 49 VwVG). Die Beschwerde ist daher abzuweisen.</w:t>
      </w:r>
    </w:p>
    <w:p>
      <w:r>
        <w:rPr>
          <w:b/>
        </w:rPr>
        <w:t>E. 10</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