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C-1679/2009 vom 7. Juni 2011</w:t>
      </w:r>
    </w:p>
    <w:p>
      <w:r>
        <w:t>Bundesverwaltungsgericht, 2011-06-07, DE</w:t>
      </w:r>
    </w:p>
    <w:p>
      <w:r>
        <w:rPr>
          <w:b/>
        </w:rPr>
        <w:t xml:space="preserve">Quelle: </w:t>
      </w:r>
      <w:r>
        <w:t>https://mcp.opencaselaw.ch/entscheid/bvger_C-1679_2009</w:t>
      </w:r>
    </w:p>
    <w:p>
      <w:r>
        <w:t>FR: TAF C-1679/2009 du 7 juin 2011</w:t>
      </w:r>
    </w:p>
    <w:p>
      <w:r>
        <w:t>IT: TAF C-1679/2009 del 7 giugno 2011</w:t>
      </w:r>
    </w:p>
    <w:p>
      <w:pPr>
        <w:pStyle w:val="Heading2"/>
      </w:pPr>
      <w:r>
        <w:t>Regeste</w:t>
      </w:r>
    </w:p>
    <w:p>
      <w:r>
        <w:t>Rente</w:t>
      </w:r>
    </w:p>
    <w:p>
      <w:pPr>
        <w:pStyle w:val="Heading2"/>
      </w:pPr>
      <w:r>
        <w:t>Erwägungen</w:t>
      </w:r>
    </w:p>
    <w:p>
      <w:r>
        <w:rPr>
          <w:b/>
        </w:rPr>
        <w:t>E. 1</w:t>
      </w:r>
    </w:p>
    <w:p>
      <w:r>
        <w:t>Anfechtungsobjekt ist vorliegend die Einspracheverfügung vom 23. Februar 2009, mit welcher der Antrag auf eine Hinterlassenenrente abgewiesen worden ist.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Schweizerische Ausgleichskasse (SAK) ist eine Vorinstanz im Sinn von Art. 33 Bst. d VGG (vgl. auch Art. 85bis Abs. 1 des Bundesgesetzes vom 20. Dezember 1946 über die Alters- und Hinterlassenenversicherung [AHVG, SR 831.10]). Das Bundesverwaltungsgericht ist somit für die Behandlung der vorliegenden Beschwerde zuständig.</w:t>
      </w:r>
    </w:p>
    <w:p>
      <w:r>
        <w:rPr>
          <w:b/>
        </w:rPr>
        <w:t>E. 2</w:t>
      </w:r>
    </w:p>
    <w:p>
      <w:r>
        <w:t>Aufgrund von Art. 3 Bst.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2.1</w:t>
      </w:r>
    </w:p>
    <w:p>
      <w:r>
        <w:t>Die Beschwerdeführerin ist durch den angefochtenen Einspracheentscheid besonders berührt und hat ein schutzwürdiges Interesse an dessen Aufhebung oder Änderung, so dass sie im Sinn von Art. 59 ATSG beschwerdelegitimiert ist. Da die Beschwerde im Übrigen frist- und formgerecht eingereicht worden ist, ist auf sie einzutreten (Art. 50 Abs. 1 und Art. 52 Abs. 1 VwVG, vgl. auch Art. 60 ATSG).</w:t>
      </w:r>
    </w:p>
    <w:p>
      <w:r>
        <w:rPr>
          <w:b/>
        </w:rPr>
        <w:t>E. 3</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BGE 134 V 315 E.1.2).</w:t>
      </w:r>
    </w:p>
    <w:p>
      <w:r>
        <w:rPr>
          <w:b/>
        </w:rPr>
        <w:t>E. 4</w:t>
      </w:r>
    </w:p>
    <w:p>
      <w:r>
        <w:t>Die Beschwerdeführerin ist Staatsangehörige der Republik Kosovo.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Alters- und Hinterlassenenversicherung einander gleichgestellt, soweit in diesem Abkommen und seinem Schlussprotokoll nichts Abweichendes bestimmt ist. Der Schweizerische Bundesrat hat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im Bereich der Alters- und Hinterlassenenversicherung bis am 31. März 2010 nach den Regelungen des Abkommens, spätere Entscheide aufgrund des innerstaatlichen Rechts beurteilt werden. Die Frage, ob das Abkommen für kosovarische Staatsbürger auch nach diesem Datum angewendet werden muss, ist zur Zeit vor dem Bundesgericht hängig. Da die angefochtene Verfügung vor dem 31. März 2010 ergangen ist, kommen die Regelungen des Abkommens vorliegend jedenfalls zur Anwendung. Mangels einer einschlägigen abkommensrechtlichen Regelung ist die Ausgestaltung des Verfahrens sowie die Prüfung der Anspruchsvoraussetzungen einer schweizerischen Hinterlassenenrente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5</w:t>
      </w:r>
    </w:p>
    <w:p>
      <w:r>
        <w:t>Vorliegend streitig und damit zu prüfen ist, ob die Vorinstanz zu Recht den Antrag der Beschwerdeführerin, deren Ehegatte am 17. März 1995 verstorben ist, auf Ausrichtung einer Witwenrente abgewiesen hat.</w:t>
      </w:r>
    </w:p>
    <w:p>
      <w:r>
        <w:rPr>
          <w:b/>
        </w:rPr>
        <w:t>E. 5.1</w:t>
      </w:r>
    </w:p>
    <w:p>
      <w:r>
        <w:t>Anspruch auf eine ordentliche Rente (Alters-, Witwen- oder Waisenrente, vgl. Art. 18 Abs. 1 AHVG) haben gemäss Art. 29 Abs. 1 AHVG die rentenberechtigten Personen, denen während mindestens eines vollen Jahres Einkommen, Erziehungs- oder Betreuungsgutschriften angerechnet werden können.</w:t>
      </w:r>
    </w:p>
    <w:p>
      <w:r>
        <w:rPr>
          <w:b/>
        </w:rPr>
        <w:t>E. 5.2</w:t>
      </w:r>
    </w:p>
    <w:p>
      <w:r>
        <w:t>Eine volles Beitragsjahr liegt vor, wenn die versicherte Person insgesamt länger als elf Monate im Sinne von Art. 1a oder 2 AHVG der Beitragspflicht unterstellt war und während dieser Zeit den Mindestbeitrag bezahlt hat oder Beitragszeiten im Sinne von Art. 29ter Abs. 2 Bst. b und c AHVG aufweist. Dabei richtet sich die Beitragsdauer eines Versicherten in der Regel nach den Einträgen in seinen individuellen Konten (Art. 30ter AHVG). Nach Art. 140 Abs. 1 Bst. d der Verordnung vom 31. Oktober 1947 über die Alters- und Hinterlassenenversicherung (AHVV, SR 831.101) muss im individuellen Konto das Beitragsjahr und die Beitragsdauer in Monaten eingetragen sein. Wird kein Kontoauszug verlangt, gegen einen erhaltenen Kontoauszug kein Einspruch erhoben oder ein erhobener Einspruch abgewiesen, so kann bei Eintritt des Versicherungsfalls die Berechtigung von Eintragungen nur verlangt werden, soweit deren Unrichtigkeit offenkundig ist oder der volle Beweis erbracht wird (Art. 141 Abs. 3 AHVV; vgl. auch BGE 130 V 335 E. 4.1; BGE 117 V 261 E. 3a).</w:t>
      </w:r>
    </w:p>
    <w:p>
      <w:r>
        <w:rPr>
          <w:b/>
        </w:rPr>
        <w:t>E. 5.3</w:t>
      </w:r>
    </w:p>
    <w:p>
      <w:r>
        <w:t>Gemäss individuellem Kontoauszug (vgl. act. 21-23) hat der verstorbene Ehemann der Beschwerdeführerin während insgesamt 11 Monaten in der Schweiz gearbeitet und Beiträge an die AHV geleistet. Die Richtigkeit des individuellen Kontoauszuges wird von der Beschwerdeführerin nicht bestritten. Da kein volles Beitragsjahr vorliegt, besteht kein Anspruch auf eine Witwenrente.</w:t>
      </w:r>
    </w:p>
    <w:p>
      <w:r>
        <w:rPr>
          <w:b/>
        </w:rPr>
        <w:t>E. 5.4</w:t>
      </w:r>
    </w:p>
    <w:p>
      <w:r>
        <w:t>Soweit die Beschwerdeführerin eine Rückerstattung der AHV-Beiträge beantragt, ist sie auf Art. 18 Abs. 3 AHVG und Art. 1 Abs. 1 der Verordnung vom 29. November 1995 über die Rückvergütung der von Ausländern an die Alters- und Hinterlassenenversicherung bezahlten Beiträge (RV-AHV, SR 831.131.12) hinzuweisen, wonach eine Rückerstattung von Beiträgen, welche eine Ausländerin oder ein Ausländer an die AHV bezahlt hat, kumulativ voraussetzt, dass mindestens ein volles Beitragsjahr ausgewiesen wird und keine zwischenstaatliche Vereinbarung mit dem betreffenden Heimatstaat besteht. Wie unter E. 5.3 festgestellt, liegt kein volles Beitragsjahr vor.</w:t>
      </w:r>
    </w:p>
    <w:p>
      <w:r>
        <w:rPr>
          <w:b/>
        </w:rPr>
        <w:t>E. 5.5</w:t>
      </w:r>
    </w:p>
    <w:p>
      <w:r>
        <w:t>Die Vorinstanz hat somit den Antrag der Beschwerdeführerin auf Gewährung einer Hinterlassenenrente wegen Nichterfüllens der Mindestbeitragszeit zu Recht abgewiesen. Die Beschwerde ist somit im einzelrichterlichen Verfahren gemäss Art. 23 Abs. 2 VGG in Verbindung mit Art. 85bis Abs. 3 AHVG wegen offensichtlicher Unbegründetheit abzuweisen, und die Einspracheverfügung vom 23. Februar 2009 ist zu bestätigen.</w:t>
      </w:r>
    </w:p>
    <w:p>
      <w:r>
        <w:rPr>
          <w:b/>
        </w:rPr>
        <w:t>E. 6</w:t>
      </w:r>
    </w:p>
    <w:p>
      <w:r>
        <w:t>Das Verfahren ist für die Parteien kostenlos (Art. 85bis Abs. 2 AHVG). Die Beschwerdeführerin hat als unterliegende Partei kein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