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C-1675/2015 vom 24. September 2015</w:t>
      </w:r>
    </w:p>
    <w:p>
      <w:r>
        <w:t>Bundesverwaltungsgericht, 2015-09-24, FR</w:t>
      </w:r>
    </w:p>
    <w:p>
      <w:r>
        <w:rPr>
          <w:b/>
        </w:rPr>
        <w:t xml:space="preserve">Quelle: </w:t>
      </w:r>
      <w:r>
        <w:t>https://mcp.opencaselaw.ch/entscheid/bvger_C-1675_2015</w:t>
      </w:r>
    </w:p>
    <w:p>
      <w:r>
        <w:t>FR: TAF C-1675/2015 du 24 septembre 2015</w:t>
      </w:r>
    </w:p>
    <w:p>
      <w:r>
        <w:t>IT: TAF C-1675/2015 del 24 settembre 2015</w:t>
      </w:r>
    </w:p>
    <w:p>
      <w:pPr>
        <w:pStyle w:val="Heading2"/>
      </w:pPr>
      <w:r>
        <w:t>Regeste</w:t>
      </w:r>
    </w:p>
    <w:p>
      <w:r>
        <w:t>Visa Schengen</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d'autorisation d'entrée prononcées par l'autorité intimée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ayant pris part à la procédure devant l'autorité inférieure et étant destinataire de la décision querellée,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TAF l'a souligné dans sa jurisprudence, la réglementation Schengen ne confère, pas plus que la législation suisse, de droit à l'entrée dans l'Espace Schengen, ni de droit à l'octroi d'un visa (cf. ATAF 2014/1consid. 4.1.1 et 4.1.5; 2011/48 consid. 4.1). 4.1 Les dispositions sur la procédure en matière de visa ainsi que sur l'entrée en Suisse et la sortie de ce pays ne s'appliquent que dans la mesure où les accords d'association à Schengen, qui sont mentionnés à l'annexe 1, ch. 1 de la LEtr (RS 142.20), ne contiennent pas de dispositions divergentes (cf. art. 2 al. 4 et 5 LEtr). S'agissant des conditions d'entrée en Suisse pour un séjour n'excédant pas nonante jours, l'art. 2 al. 1 de l'ordonnance du 22 octobre 2008 sur l'entrée et l'octroi de visas (OEV, RS 142.204) renvoie au code frontières Schengen,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 (cf. notamment ATAF 2009/27 consid. 5.1; arrêt du TAF C-1834/2013 du 6 mars 2014 consid. 4.2). 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 4.2 Si les conditions pour l'octroi d'un visa uniforme pour l'Espace Schengen ne sont pas remplies, un Etat membre peut, à titre exceptionnel, délivrer un visa à validité territoriale limitée (ci-après: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 4.3 Le Règlement (CE) no 539/2001 du Conseil du 15 mars 2001 (JO L 81 du 21 mars 2001, p.1-7) différencie, en son art. 1 par. 1 et 2, les ressortissants des Etats tiers selon qu'ils sont soumis ou non à l'obligation du visa. En tant que ressortissante camerounaise, A._______ est soumise à l'obligation du visa.</w:t>
      </w:r>
    </w:p>
    <w:p>
      <w:r>
        <w:rPr>
          <w:b/>
        </w:rPr>
        <w:t>E. 5.1</w:t>
      </w:r>
    </w:p>
    <w:p>
      <w:r>
        <w:t>Dans la décision querellée, le SEM a refusé d'autoriser l'entrée de la prénommée au motif que son départ à l'échéance du visa sollicité n'apparaissait pas suffisamment assuré.</w:t>
      </w:r>
    </w:p>
    <w:p>
      <w:r>
        <w:rPr>
          <w:b/>
        </w:rPr>
        <w:t>E. 5.2</w:t>
      </w:r>
    </w:p>
    <w:p>
      <w:r>
        <w:t>A titre préalable, le Tribunal se doit d'observer que la décision rendue le 16 février 2015 comporte des erreurs lesquelles, sans influer sur l'issue de la présente procédure, doivent cependant être relevées et corrigées. Ainsi, comme l'a fait justement remarquer la recourante dans son mémoire de recours, elle a sollicité un visa pour une durée de 30 jours et non de 63 jours. Cette durée de 30 jours paraît en effet plus en adéquation avec les obligations invoquées par la recourante vis-à-vis de ses petits-enfants, dont elle a déclaré assumer la garde depuis leur naissance. Toutefois, à l'instar du SEM, le Tribunal doit constater que la recourante n'a produit aucun document permettant de retenir la pertinence de cette obligation familiale, de sorte que la correction apportée à la durée du séjour requis n'est pas suffisante à remettre en cause le prononcé du 16 février 2015. Par ailleurs, s'agissant des précédents visas obtenus par l'intéressée en 2007 et 2008, le Tribunal doit observer que le SEM a manifestement commis une erreur dans ses calculs. Le Tribunal retient ainsi que le premier visa était valable pour une entrée sur territoire suisse pour la période comprise entre le 9 décembre 2007 et le 8 janvier 2008, pour une durée totale de 60 jours. Or, selon les timbres figurant dans le passeport de l'intéressée, celle-ci est bien entrée en Suisse durant la période prévue à cet effet, soit le 10 décembre 2007, et a quitté le territoire suisse le 10 février 2008, soit 3 jours après l'échéance légale de la durée de son séjour et non un mois, comme retenu par le SEM. Quant au second visa, il a été octroyé pour une période de validité courant du 22 novembre 2008 au 21 janvier 2009, pour une durée totale de 90 jours. Selon les timbres figurant dans le passeport de l'intéressée, elle est venue en Suisse le 15 décembre 2008 et est ressortie le 26 juin 2009, soit un peu plus de trois mois après la période de 90 jours accordée (celle-ci échéant en effet le 14 mars 2009) et non pas cinq mois après, comme retenu par le SEM. Cela étant, c'est à raison que le SEM a estimé, dans la décision du 16 février 2015, qu'en cas de non-respect de la durée du visa, les doutes éveillés rendent l'autorité peu encline, sous réserve de circonstances particulières, à délivrer un nouveau visa. Certes, la recourante a justifié le dépassement du second visa par le fait qu'elle avait dû être opérée mais force est de constater que l'opération ne semblait pas présenter un caractère d'urgence et qu'elle a eu lieu en juin (voire en août) 2009, soit près de trois mois (voire près de cinq mois) après l'échéance légale de son visa. Par ailleurs, le Tribunal ne saurait suivre la recourante lorsqu'elle considère avoir déjà été sanctionnée par le paiement d'une amende, dès lors que cette mesure se justifiait par le seul fait de son séjour illégal.</w:t>
      </w:r>
    </w:p>
    <w:p>
      <w:r>
        <w:rPr>
          <w:b/>
        </w:rPr>
        <w:t>E. 5.3</w:t>
      </w:r>
    </w:p>
    <w:p>
      <w:r>
        <w:t>Ceci observé, le Tribunal rappelle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la situation personnelle du requérant ou de requérante.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favorable que celle que connaît la Suisse puisse influencer le comporte­ment de la personne intéressée (cf., sur les points qui précèdent, no­tamment les arrêts du Tribunal administratif fédéral C-328/2013 du 24 juin 2014 consid. 5.1 à 5.3, C-3022/2013 du 11 mars 2014 consid. 5.1).</w:t>
      </w:r>
    </w:p>
    <w:p>
      <w:r>
        <w:rPr>
          <w:b/>
        </w:rPr>
        <w:t>E. 6.1</w:t>
      </w:r>
    </w:p>
    <w:p>
      <w:r>
        <w:t>Si l'on considère uniquement la qualité de vie et des conditions économiques et sociales difficiles que connaît l'ensemble de la population du Cameroun, il ne saurait être exclu que la recourante puisse être tentée de prolonger son séjour en Suisse au-delà de la durée de validité du visa sollicité. Il convient de relever en effet que le produit intérieur brut (PIB) par habitant au Cameroun est estimé à environ USD 1'330.- en 2013, soit à un niveau notablement inférieur à celui de la Suisse (CHF 78'539.- en 2013) (sources: &lt; http://donnees.banquemondiale.org/pays/cameroun &gt; ; Office fédéral de la statistique, www.bfs.admin.ch &gt; Thèmes &gt; 04 - Economie nationale &gt; Comptes nationaux &gt; Produit intérieur brut &gt; PIB par habitant, sites consultés en septembre 2015 ; voir également à ce propos Flavien Tchapga, La concurrence dans l'économie du Cameroun, New York et Genève 2014, § I.2.3 p. 10, cf. à cet égard le site internet de la Conférence des nations unies sur le commerce et le développement, &lt; http://unctad.org/en/PublicationsLibrary/ditcclp2013d1_fr.pdf &gt; (site consulté en septembre 2015). A cela s'ajoute le fait que le Cameroun doit faire face à une forte insécurité sur le plan régionale, du fait de la guerre ouverte qui l'oppose, au nord de son territoire, à la secte islamiste Boko Haram, basée au Nigéria. Enfin, la sécheresse survenue au début d'année dans l'extrême nord du Cameroun contribue à aggraver le climat d'insécurité dans cette région du pays (Le Monde Afrique, Au nord du Cameroun , l'insécurité alimentaire s'ajoute à la peur de Boko Haram, 25.09.2015). Il s'impose de relever cependant que ces éléments de nature économique et politique ne sauraient être à eux seuls déterminants et qu'il convient de prendre en considération les particularités des cas d'espèce (cf. ATAF 2009/27 consid. 7 et 8).</w:t>
      </w:r>
    </w:p>
    <w:p>
      <w:r>
        <w:rPr>
          <w:b/>
        </w:rPr>
        <w:t>E. 6.2</w:t>
      </w:r>
    </w:p>
    <w:p>
      <w:r>
        <w:t>Il convient dès lors d'examiner si la situation personnelle, familiale et patrimoniale de A._______ plaide en faveur de sa sortie ponctuelle respectivement de Suisse et de l'Espace Schengen, à l'expiration de son visa, compte tenu par ailleurs du but du séjour qu'elle envisage d'effectuer en Suisse. Dans le cas présent, le Tribunal retient en premier lieu que la prénommée, veuve et retraitée de 64 ans, ne semble pas présenter, de prime abord, un profil migratoire à risque, compte tenu des attaches familiales qu'elle aurait au Cameroun et de la situation financière confortable dont elle paraît y bénéficier, de par le revenu régulier tiré de la location de ses locaux commerciaux. Le Tribunal ne saurait toutefois faire abstraction de son âge ni des problèmes de santé qu'elle a connu en 2009 (selon le certificat médical produit au dossier en 2012, l'intéressée - outre l'opération subie - a été prise en charge durant son séjour en Suisse pour un diabète sucré, une hypertension artérielle modérée ainsi que des troubles de la fonction hépatique). La recourante se trouve en effet dans une tranche d'âge où des complications médicales peuvent survenir rapidement, de manière imprévisible et nécessiter des soins importants. Or, en présence d'une personne d'un certain âge en provenance d'un pays à la situation sanitaire moins favorable, les craintes que celle-ci prolonge, volontairement ou non, son séjour dans un pays de l'Espace Schengen en raison des infrastructures médicales supérieures à disposition et d'une prise en charge plus adéquate liées à son état de santé sont bien réelles et ne sauraient être sous-évaluées. Dans le présent cas, ces craintes sont d'autant plus réelles qu'elle se sont déjà produites en 2009 et que l'intéressée n'a pas allégué ni démontré qu'elle ne présenterait désormais plus les symptômes pour lesquels elle a été prise en charge alors. Pour contrebalancer ces craintes, il faudrait être en présence d'éléments particulièrement forts et concrets à même de garantir le retour de la personne concernée, ce qui n'est pas le cas en l'espèce puisque, comme relevé ci-avant, l'intéressée n'a fourni aucun document susceptible d'attester les charges assumées à l'encontre de ses petits-enfants. Dans ces circonstances, le Tribunal est amené à considérer que les conditions d'entrée prévues par le code frontières Schengen concernant la garantie que l'intéressée quittera la Suisse dans le délai fixé ne sont en l'espèce pas remplies et que c'est donc de manière fondée que l'autorité inférieure a écarté l'opposition du 22 décembre 2014 et confirmé le refus de lui octroyer une autorisation d'entrée dans l'Espace Schengen. 7.Le Tribunal constate par ailleurs que le dossier ne laisse pas apparaître de motifs susceptibles de justifier la délivrance en faveur de la recourante d'un visa à validité territoriale limitée (visa VTL; cf. consid. 4.2 supra). Sous cet angle, il convient de relever que le refus d'autorisation d'entrée prononcé à l'endroit de A._______ ne constituerait pas une ingérence inadmissible dans l'exercice du droit au respect de la vie privée et familiale consacré par l'art. 8 CEDH. La protection conférée par la disposition susmentionnée vise en effet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 Cela étant, il n'y a pas atteinte à la vie familiale si l'on peut attendre des membres de la famille qu'ils réalisent leur vie de famille à l'étranger (cf. notamment ATF 135 I 153 consid. 2.1 et 135 I 143 consid. 2.2; voir également l'ATAF 2011/48 consid. 6.3.1). Dès lors, une violation de cette norme ne peut en principe être admise que si les membres d'une même famille n'ont - durablement ou, à tout le moins, pendant une période prolongée - aucune possibilité de se rencontrer dans un pays autre que la Suisse (cf. à ce sujet l'arrêt du Tribunal administratif fédéral C-4852/2011 précité, ibid. et les références citées). Or, en l'occurrence, la recourante et sa fille (ainsi que les enfants de cette dernière) apparaissent en mesure de se rencontrer dans un autre pays que la Suisse, en particulier au Cameroun, nonobstant les difficultés liées à un tel déplacement. La recourante n'a au demeurant pas fait valoir, dans son argumentation, d'éléments convaincants susceptibles d'établir que les membres de sa famille établis en Suisse ne seraient pas en mesure de lui rendre visite dans son pays. 8.Il ressort de ce qui précède que, par sa décision du 16 février 2015, l'autorité intimée n'a ni violé le droit fédéral; en outre, cette décision n'est pas inopportune (art. 49 PA). En conséquence, le recours est rejeté. 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(FITAF,RS 173.320.2). L'intéressée a certes sollicité l'assistance judiciaire partielle en application de l'art. 65 al. 1 PA. Toutefois, indépendamment de la question relative aux chances de succès du recours au moment du dépôt de celui-ci, il doit être constaté que l'intéressée n'a pas établi qu'elle serait indigente, s'étant au contraire prévalu, dans son mémoire de recours, d'une situation économique confortable. Dans la mesure où ces deux conditions à l'octroi de l'assistance judiciaire sont cumulatives (conclusions non d'emblée vouées à l'échec et indigence), il y a lieu de rejeter sa requête.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