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C-1671/2010 vom 13. September 2011</w:t>
      </w:r>
    </w:p>
    <w:p>
      <w:r>
        <w:t>Bundesverwaltungsgericht, 2011-09-13, FR</w:t>
      </w:r>
    </w:p>
    <w:p>
      <w:r>
        <w:rPr>
          <w:b/>
        </w:rPr>
        <w:t xml:space="preserve">Quelle: </w:t>
      </w:r>
      <w:r>
        <w:t>https://mcp.opencaselaw.ch/entscheid/bvger_C-1671_2010</w:t>
      </w:r>
    </w:p>
    <w:p>
      <w:r>
        <w:t>FR: TAF C-1671/2010 du 13 septembre 2011</w:t>
      </w:r>
    </w:p>
    <w:p>
      <w:r>
        <w:t>IT: TAF C-1671/2010 del 13 settembre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Il sied de préciser que le Tribunal de céans ne peut prendre en compte la documentation médicale établie après la décision attaquée que dans la mesure où celle-ci permet une meilleure compréhension des atteintes à la santé antérieures.</w:t>
      </w:r>
    </w:p>
    <w:p>
      <w:r>
        <w:rPr>
          <w:b/>
        </w:rPr>
        <w:t>E. 3</w:t>
      </w:r>
    </w:p>
    <w:p>
      <w:r>
        <w:t>L'intéressé a déposé sa demande de rente le 21 mai 2007.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21 mai 2006 ou si le droit à une rente était né entre cette dernière date et le 28 janvier 2010, date de la décision attaquée marquant la limite dans le temps du pouvoir d'examen de l'autorité de recours (ATF 129 V 1 consid. 2.1 et ATF 121 V 362 consid. 1b).</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5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5.4</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5.5</w:t>
      </w:r>
    </w:p>
    <w:p>
      <w:r>
        <w:t>En cas de décision simultanée sur l'octroi d'une rente et son remplacement par une autre rente ou même sa suppression, le changement est régi par l'art. 88a du règlement du 17 janvier 1961 sur l'assurance-invalidité (RAI, RS 831.301)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5.6</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pendant plusieurs années en dernier lieu comme gypsier. Il n'a apparemment plus travaillé à compter de son accident du 16 mars 2006, toutefois les dernières attestations d'incapacité de travail et le rapport E 213 du 5 janvier 2010 mentionnent la cessation d'une activité lucrative au 30 juillet 2009.</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w:t>
      </w:r>
    </w:p>
    <w:p>
      <w:r>
        <w:t>En l'espèce, il est établi que le recourant souffre d'une épaule droite douloureuse en cas de mouvements et tensions qui ne lui permet qu'une utilisation limitée pour des travaux légers du membre supérieur droit. Eu égard au fait qu'il ne s'agit pas là d'un état de santé stabilisé, la let. a de l'art. 29 al. 1 LAI en vigueur jusqu'au 31 décembre 2007 est inapplicable; seule peut entrer en considération la let. b de cette disposition légale prévoyant en principe une période d'attente d'une année à partir du début de l'incapacité de travail déterminante pour le début du droit à la rente.</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Le Tribunal fédéral a, pour sa part,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sont donc indépendantes (cf. arrêt du Tribunal fédéral 8C_558/2008 du 17 mars 2009 consid. 2.3).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10.1</w:t>
      </w:r>
    </w:p>
    <w:p>
      <w:r>
        <w:t>En l'espèce, à la suite de l'accident de travail survenu le 17 mars 2006 il fut diagnostiqué une contusion de l'épaule droite et il se révéla par la suite une rupture de la coiffe des rotateurs qui nécessita deux interventions chirurgicales en juin 2006 et 2007. Le Dr C._______ diagnostiqua une nouvelle rupture du tendon sus-épineux le 23 juin 2008 (rapport du 1er juillet 2008) mais ne proposa pas de nouvelle intervention chirurgicale au motif d'une stabilisation de l'épaule et de la nécessité d'un seul traitement conservateur car une intervention ne pouvait améliorer le status de l'épaule. Le 1er septembre 2008 le Dr D._______ de la SUVA partagea cette appréciation notant pour l'intéressé l'impossibilité de reprendre son ancienne activité de gypsier mais la possibilité d'exercer à plein temps une activité très légère à légère impliquant l'usage du bras droit à l'horizontale et en particulier toutes les activités de contrôle et de surveillance. Cette appréciation médicale n'est pas contredite au dossier, l'intéressé ne souffrant pas d'autres pathologies que celle de son épaule le limitant dans l'usage de son bras droit et plus généralement dans des travaux physiques, si ce n'est un surpoids important qui n'est toutefois en principe pas constitutif d'une invalidité (arrêt du Tribunal fédéral 9C_48/2009 du 1er octobre 2009 consid. 2.3). Le Dr E._______ a dans un rapport du 11 avril 2007 indiqué une capacité de travail de 50% sans utilisation du bras droit notamment dans des activités de surveillance et de bureau. Cette limitation du taux d'activité n'a en soi pas été étayée et dans ses autres rapports médicaux ce médecin n'a plus indiqué de limitation. Dans son rapport du 22 janvier 2008 il n'en indique aucune et dans son rapport du 11 juin 2009 il n'indique une incapacité de travail que pour des activités physiques.</w:t>
      </w:r>
    </w:p>
    <w:p>
      <w:r>
        <w:rPr>
          <w:b/>
        </w:rPr>
        <w:t>E. 10.2</w:t>
      </w:r>
    </w:p>
    <w:p>
      <w:r>
        <w:t>Il s'ensuit qu'il peut être retenu que l'état de santé de l'intéressé s'est amélioré dans le courant de l'année 2008. Ce dernier présentait en effet un status permettant l'exercice à plein temps d'une activité très légère à légère avec un usage limité du bras droit à l'horizontal notamment de type de contrôle et de surveillance. L'OAI-BS a exposé dans sa réponse du 20 avril 2010 (p. 4) que cette amélioration remontait au 1er juin 2007, date de la dernière opération à l'épaule. Force est toutefois de constater que malgré cette opération et les séances de physiothérapie qui ont suivi (voir ci-dessus partie en fait A.a.), la situation ne s'est pas améliorée pour autant déjà en 2007. Ainsi, le Dr C._______ dans son rapport du 1er juillet 2008 concernant une visite du 23 juin 2008 a constaté une nouvelle rupture du tendon sus-épineux. Lors de cette visite le Dr C._______ ne s'est pas exprimé sur la capacité de travail résiduelle de l'intéressé, alors que lors d'une précédente visite du 28 avril 2008 (rapport du 16 mai 2008) il avait encore estimé l'intéressé totalement incapable de travailler. L'amélioration est en revanche constatée pour la première fois par le Dr D._______ dans son expertise du 1er septembre 2008 (visite du même jour) pour le compte de la SUVA. La situation est ensuite restée stable jusqu'à la date de la décision attaquée. L'intervention limitée du Dr F._______ du 31 juillet 2009 a consisté en une simple résection de l'articulation acromio-claviculaire et n'a pu justifier selon le service médical de l'OAI-BS qu'une interruption de travail de 2 mois au plus. Aucune complication rapportée au dossier permet de mettre en doute cette appréciation. Lors de l'examen du 29 septembre 2009, soit un peu moins de deux mois après l'intervention chirurgicale, le médecin de la SUVA ne constata aucune péjoration de l'état de santé de l'intéressé, sa capacité de travail ayant été jugée inchangée par rapport aux constatations retenues le 1er septembre 2008. Au vu de ce qui précède, le Tribunal de céans retient que l'intéressé à partir du 1er septembre 2008 était en mesure de reprendre à 100% une activité adaptée à son état de santé.</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11.3</w:t>
      </w:r>
    </w:p>
    <w:p>
      <w:r>
        <w:t>En l'espèce, pour ce qui est de l'activité lucrative, il y a lieu de prendre en compte le salaire que l'intéressé réalisait avant son atteinte à la santé indexé 2007.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L'OAI-BS, respectivement l'OAIE, a retenu comme base de comparaison sans invalidité un revenu indexé pour l'année 2007 de Fr. 63'282.- établi sur la moyenne des années 2003-2005 selon les informations reçues de l'employeur. Ce mode de faire est favorable à l'assuré du fait d'un revenu en 2003 plus élevé que les années 2004 et 2005.</w:t>
      </w:r>
    </w:p>
    <w:p>
      <w:r>
        <w:rPr>
          <w:b/>
        </w:rPr>
        <w:t>E. 11.4</w:t>
      </w:r>
    </w:p>
    <w:p>
      <w:r>
        <w:t>Le salaire après invalidité est généralement fixé sur la base des données statistiques résultant de l'Enquête suisse sur la structure des salaires (Table TA1). En l'espèce l'OAI-BS, respectivement l'OAIE, a retenu le revenu médian pour des activités simples et répétitives de niveau 4 dans le secteur privé pour l'année 2006 (TA 1) de Fr. 4'732.- par mois pour 40 h./sem. et de Fr. 4'933.11 pour 41.7 h./sem. selon l'horaire moyen hebdomadaire toutes branches confondues, soit Fr. 59'197.32 par année et pour 2007 (+1.6) Fr. 60'174 [recte: 60'144.47] sous déduction de 15% pour circonstances personnelles liées aux activités légères, soit Fr. 51'148.- [recte: Fr. 51'123.-]. Or il s'ensuit de la comparaison une perte de revenu de 18% ([62'282 - 51'123] : 62'282 x 100 = 17.91%), taux inférieur au taux seuil de 40% ouvrant le droit à un quart de rente.</w:t>
      </w:r>
    </w:p>
    <w:p>
      <w:r>
        <w:rPr>
          <w:b/>
        </w:rPr>
        <w:t>E. 11.5</w:t>
      </w:r>
    </w:p>
    <w:p>
      <w:r>
        <w:t>Il appert en conséquence, vu le caractère évolutif de l'atteinte à la santé touchant l'intéressé (RCC 1984 p. 137 consid. 3), que la rente devrait être supprimée trois mois après l'amélioration constatée le 1er septembre 2008 en application de l'art. 88a al. 1 RAI. À ce propos, il convient de préciser que la rente est en principe supprimée ou réduite le premier du mois qui suit la période de 3 mois et non le premier du mois pendant lequel la période de 3 mois est atteinte (arrêt du TAF C-6733/2008 du 22 février 2010 consid. 5.2). En l'espèce, la suppression ne peut donc intervenir que le 31 décembre 2008 au plus tôt. Le recours doit par conséquent être partiellement admis et la décision du 28 janvier 2010 réformée en ce sens que le recourant a droit à une rente entière d'invalidité du 1er mars 2007 au 31 décembre 2008. Pour le surplus, le recours doit être rejeté.</w:t>
      </w:r>
    </w:p>
    <w:p>
      <w:r>
        <w:rPr>
          <w:b/>
        </w:rPr>
        <w:t>E. 12</w:t>
      </w:r>
    </w:p>
    <w:p>
      <w:r>
        <w:t>Courant 2011 l'intéressé a fait connaître à l'autorité inférieure et au Tribunal de céans une détérioration de son état de santé. La documentation médicale y relative ne peut être prise en compte dans le cadre de cette procédure (cf. consid. 2 supra). Cas échéant, dans la mesure d'une atteinte durable à sa santé et capacité de travail, il appartient à l'intéressé de faire valoir auprès de l'administration son état de santé péjoré dans le cadre d'une nouvelle demande de prestations.</w:t>
      </w:r>
    </w:p>
    <w:p>
      <w:r>
        <w:rPr>
          <w:b/>
        </w:rPr>
        <w:t>E. 13.1</w:t>
      </w:r>
    </w:p>
    <w:p>
      <w:r>
        <w:t>En règle générale, les frais de procédure sont mis à la charge de la partie qui succombe. Si celle-ci n'est déboutée que partiellement, ces frais sont réduits (art. 63 al. 1 PA, applicable par le truchement de l'art. 37 LTAF). Vu le sort du litige, le recourant devra s'acquitter d'un montant réduit de Fr. 200.-. Ce montant est compensé par l'avance de frais de Fr. 300.- déjà fournie, le solde de Fr. 100.- lui est restitué.</w:t>
      </w:r>
    </w:p>
    <w:p>
      <w:r>
        <w:rPr>
          <w:b/>
        </w:rPr>
        <w:t>E. 13.2</w:t>
      </w:r>
    </w:p>
    <w:p>
      <w:r>
        <w:t>Vu l'issue du litige, il est alloué une indemnité de dépens réduite de Fr. 200.- à charge de l'autorité inférieure (art. 7 al. 2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