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C-1667/2010 vom 21. März 2011</w:t>
      </w:r>
    </w:p>
    <w:p>
      <w:r>
        <w:t>Bundesverwaltungsgericht, 2011-03-21, DE</w:t>
      </w:r>
    </w:p>
    <w:p>
      <w:r>
        <w:rPr>
          <w:b/>
        </w:rPr>
        <w:t xml:space="preserve">Quelle: </w:t>
      </w:r>
      <w:r>
        <w:t>https://mcp.opencaselaw.ch/entscheid/bvger_C-1667_2010</w:t>
      </w:r>
    </w:p>
    <w:p>
      <w:r>
        <w:t>FR: TAF C-1667/2010 du 21 mars 2011</w:t>
      </w:r>
    </w:p>
    <w:p>
      <w:r>
        <w:t>IT: TAF C-1667/2010 del 21 marzo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einzutreten.</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Das in Art. 67 des Bundesgesetzes vom 16. Dezember 2005 über die Ausländerinnen und Ausländer (AuG, SR 142.20)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öffentliche Sicherheit und Ordnung im Sinne von Art. 67 Abs. 2 Bst. a AuG umfasst neben anderen polizeilichen Schutzgütern die Unverletzlichkeit der objektiven Rechtsordnung (Botschaft zum Bundesgesetz über die Ausländerinnen und Ausländer vom 8. März 2002, BBl 2002 3809; vgl. auch Rainer J. Schweizer / Patrick Sutter / 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sondern als Massnahme zum Schutz vor künftigen Störungen (vgl. BBl 2002 3813).</w:t>
      </w:r>
    </w:p>
    <w:p>
      <w:r>
        <w:rPr>
          <w:b/>
        </w:rPr>
        <w:t>E. 3.3</w:t>
      </w:r>
    </w:p>
    <w:p>
      <w:r>
        <w:t>Wird gegen eine Person, die nicht das Bürgerrecht eines Mitgliedstaates der Europäischen Union besitzt (Drittstaatsangehörige),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in der Regel im Schengener Informationssystem ([SIS], vgl. dazu Art. 92 ff. SDÜ) zur Einreiseverweigerung ausgeschrieben. Diese Ausschreibung bewirkt dem Grundsatz nach, dass der betroffenen Person die Einreise in das Hoheitsgebiet der Mitgliedstaaten verboten ist (vgl. Art. 5 Abs. 1 Bst. d und Art. 13 Abs. 1 der Verordnung [EG] Nr. 562/2006 des Europäischen Parlaments und des Rates vom 15. März 2006 über einen Gemeinschaftskodex für das Überschreiten der Grenzen durch Personen [Schengener Grenzkodex bzw. SGK, ABl L 105 vom 13. April 2006, S. 1-32]). Vorbehalten bleibt die Zuständigkeit der Mitgliedstaaten, einer solchen Person aus humanitären Gründen oder Gründen des nationalen Interesses oder aufgrund internationaler Verpflichtungen die Einreise in das eigene Hoheitsgebiet zu gestatten (Art. 13 Abs. 1 i.V.m. Art. 5 Abs. 4 Bst. c SGK) bzw. ihr zu diesem Zweck ein Schengen-Visum mit räumlich beschränkter Gültigkeit auszustellen (Art. 25 Abs. 1 Bst. a [ii] der Verordnung [EG] Nr. 810/2009 des Europäischen Parlaments und des Rates vom 13. Juli 2009 über einen Visakodex der Gemeinschaft [Visakodex], ABl L 243 vom 15. September 2009).</w:t>
      </w:r>
    </w:p>
    <w:p>
      <w:r>
        <w:rPr>
          <w:b/>
        </w:rPr>
        <w:t>E. 4.1</w:t>
      </w:r>
    </w:p>
    <w:p>
      <w:r>
        <w:t>Die Vorinstanz wirft der Beschwerdeführerin vor, sie habe durch ihre Anwesenheit, welche sich über den bewilligungsfreien Zeitrahmen hinaus erstreckt haben soll, die ausländerrechtlichen Vorschriften über den bewilligungsfreien Aufenthalt verletzt.</w:t>
      </w:r>
    </w:p>
    <w:p>
      <w:r>
        <w:rPr>
          <w:b/>
        </w:rPr>
        <w:t>E. 4.2</w:t>
      </w:r>
    </w:p>
    <w:p>
      <w:r>
        <w:t>Das Bundesamt für Migration erliess ein zweijähriges Einreiseverbot gegen die Beschwerdeführerin gestützt auf den Rapport der Kantonspolizei Zürich vom 26. Dezember 2009 sowie auf die am Anschluss daran ergangene Strafverfügung des Statthalteramtes Bülach vom 14. Januar 2010.</w:t>
      </w:r>
    </w:p>
    <w:p>
      <w:r>
        <w:rPr>
          <w:b/>
        </w:rPr>
        <w:t>E. 4.2.1</w:t>
      </w:r>
    </w:p>
    <w:p>
      <w:r>
        <w:t>Gemäss ihrer eigenen Aussage vom 18. Dezember 2009 gegenüber der Flughafenpolizei besuchte die Beschwerdeführerin nach ihrer Einreise am 17. August 2009 in den Schengenraum eine Schule in Genf und hielt sich die ganze Zeit auch dort auf. In ihrer Rechtsmitteleingabe vom 23. März 2010 spricht sie dagegen von einer Jugendorganisation in Lausanne, bei welcher sie einen 12-wöchigen Seminarkurs besuchte. Ungeachtet dieser teils widersprüchlichen Aussagen behauptet die Beschwerdeführerin, nicht über die Aufenthaltsbestimmungen informiert gewesen zu sein. Sie sei im Gegenteil davon überzeugt gewesen, eine Bestätigung der Schule reiche für ihren touristischen Aufenthalt zeitlich bis über das Seminarende aus.</w:t>
      </w:r>
    </w:p>
    <w:p>
      <w:r>
        <w:rPr>
          <w:b/>
        </w:rPr>
        <w:t>E. 4.2.2</w:t>
      </w:r>
    </w:p>
    <w:p>
      <w:r>
        <w:t>Die Beschwerdeführerin macht in ihrer Rechtsmitteleingabe vom 23. März 2010 sinngemäss die Verletzung des Anspruchs auf rechtliches Gehör geltend. Auf ihre diesbezüglichen Ausführungen ist an dieser Stelle jedoch nicht näher einzugehen, ist die Beschwerdeführerin doch durch die Flughafenpolizei am 18. Dezember 2009 anlässlich ihrer Vernehmung explizit darauf hingewiesen worden, die zuständige Behörde könne aufgrund des festgestellten Sachverhalts die Verhängung einer Fernhaltemassnahme gegen sie prüfen. Somit wurde ihr das rechtliche Gehör korrekt gewährt (vgl. Formular "Rechtliches Gehör" der Flughafenpolizei, unterschrieben von der Beschwerdeführerin mit Datum vom 18. Dezember 2009). Bei der erneuten Wiedereinreise in die Schweiz am 3. Februar 2010 - von Kairo zurückkehrend - wurde die Betroffene von der Kantonspolizei wiederum angehalten. Die Beamten brachten ihr dabei offiziell das am 1. Februar 2010 durch die Vorinstanz erlassene Einreiseverbot zur Kenntnis.</w:t>
      </w:r>
    </w:p>
    <w:p>
      <w:r>
        <w:rPr>
          <w:b/>
        </w:rPr>
        <w:t>E. 4.2.3</w:t>
      </w:r>
    </w:p>
    <w:p>
      <w:r>
        <w:t>Gemäss Eintrag in ihrem Reisepass reiste die Beschwerdeführerin am 17. August 2009 via Frankfurt a. M. in den Schengenraum ein, womit der bewilligungsfreie 90-tägige Aufenthalt am 14. November 2009 ablief. Es ist somit erwiesen, dass sie die bewilligungsfreie Aufenthaltsdauer um über 30 Tage überschritt und sich dadurch widerrechtlich in der Schweiz bzw. im Schengenraum aufhielt. Hinsichtlich dieses Sachverhalts wurde sie denn auch strafrechtlich rechtskräftig verurteilt (vgl. vorne Bst. B).</w:t>
      </w:r>
    </w:p>
    <w:p>
      <w:r>
        <w:rPr>
          <w:b/>
        </w:rPr>
        <w:t>E. 4.3</w:t>
      </w:r>
    </w:p>
    <w:p>
      <w:r>
        <w:t>Es bleibt zu prüfen, ob die angeordnete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 St. Gallen 2006, Rz. 613 ff.).</w:t>
      </w:r>
    </w:p>
    <w:p>
      <w:r>
        <w:rPr>
          <w:b/>
        </w:rPr>
        <w:t>E. 4.4</w:t>
      </w:r>
    </w:p>
    <w:p>
      <w:r>
        <w:t>Die Beschwerdeführerin hat ausländerrechtliche Bestimmungen verletzt, indem sie nach ihrer Einreise - gemäss eigenen Angaben zwar nicht vorsätzlich - deutlich über die erlaubte Aufenthaltsdauer hinaus widerrechtlich in der Schweiz verweilte. Wenn auch die Beschwerdeführerin gewissermassen einräumt, sie sei über die gesetzlichen Aufenthaltsbedingungen und -fristen nicht genau im Bild gewesen, so besteht trotz ihrer Einsicht ein generalpräventiv motiviertes öffentliches Interesse an ihrer Fernhaltung, dies nicht zuletzt auch im Sinne einer kontinuierlichen Praxis sowie der Gleichbehandlung. Nichts zu ihren Gunsten kann die Beschwerdeführerin schliesslich aus ihrem Vorbringen ableiten, sie sei der Meinung gewesen, mit der Bezahlung der Busse sei alles geregelt.</w:t>
      </w:r>
    </w:p>
    <w:p>
      <w:r>
        <w:rPr>
          <w:b/>
        </w:rPr>
        <w:t>E. 4.5</w:t>
      </w:r>
    </w:p>
    <w:p>
      <w:r>
        <w:t>Eine Beeinträchtigung der persönlichen Interessen macht die Beschwerdeführerin insoweit geltend, als sie behauptet, das Einreiseverbot verunmögliche es ihr, ihr humanitäres Engagement in Europa während der Dauer von zwei Jahren aufrecht zu erhalten.</w:t>
      </w:r>
    </w:p>
    <w:p>
      <w:r>
        <w:rPr>
          <w:b/>
        </w:rPr>
        <w:t>E. 4.6</w:t>
      </w:r>
    </w:p>
    <w:p>
      <w:r>
        <w:t>In diesem Zusammenhang ist darauf zu verweisen, dass das Einreiseverbot keineswegs absolut gilt. Einerseits können die schweizerischen Behörden auf Gesuch hin und bei Vorliegen stichhaltiger Gründe die Wirkungen des Einreiseverbots für bestimmte Zeit aussetzen (Art. 67 Abs. 5 AuG). Andererseits haben die übrigen Schengen-Staaten in ähnlicher Weise die Möglichkeit, der Beschwerdeführerin ungeachtet des Einreiseverbots die Einreise in das eigene Hoheitsgebiet unter bestimmten Voraussetzungen zu gestatten (vgl. dazu vorne Ziff. 3.3). Folglich steht es der Beschwerdeführerin nötigenfalls frei, bei der Vorinstanz ein Gesuch um Suspension zu stellen.</w:t>
      </w:r>
    </w:p>
    <w:p>
      <w:r>
        <w:rPr>
          <w:b/>
        </w:rPr>
        <w:t>E. 4.7</w:t>
      </w:r>
    </w:p>
    <w:p>
      <w:r>
        <w:t>Eine wertende Gewichtung der sich entgegenstehenden öffentlichen und privaten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 Es liegen keine besonderen Gründe vor, die es rechtfertigen würden, in casu von der bisherigen Praxis abzuweichen.</w:t>
      </w:r>
    </w:p>
    <w:p>
      <w:r>
        <w:rPr>
          <w:b/>
        </w:rPr>
        <w:t>E. 5</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6</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