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C-1661/2008 vom 20. März 2009</w:t>
      </w:r>
    </w:p>
    <w:p>
      <w:r>
        <w:t>Bundesverwaltungsgericht, 2009-03-20, FR</w:t>
      </w:r>
    </w:p>
    <w:p>
      <w:r>
        <w:rPr>
          <w:b/>
        </w:rPr>
        <w:t xml:space="preserve">Quelle: </w:t>
      </w:r>
      <w:r>
        <w:t>https://mcp.opencaselaw.ch/entscheid/bvger_C-1661_2008</w:t>
      </w:r>
    </w:p>
    <w:p>
      <w:r>
        <w:t>FR: TAF C-1661/2008 du 20 mars 2009</w:t>
      </w:r>
    </w:p>
    <w:p>
      <w:r>
        <w:t>IT: TAF C-1661/2008 del 20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telles notamment l'ordonnance du 14 janvier 1998 concernant l'entrée et la déclaration d'arrivée des étrangers (OEArr de 1998, RO 1998 194) abrogée par l'art. 39 de l'ordonnance du 24 octobre 2007 sur la procédure d'entrée et de visas (OPEV de 2007, RO 2007 5537) et l'ordonnance du 6 octobre 1986 limitant le nombre des étrangers (OLE de 1986, RO 1986 1791) abrogée par l'art. 91 de l'ordonnance du 24 octobre 2007 relative à l'admission, au séjour et à l'exercice d'une activité lucrative (OASA, RS 142.201).</w:t>
      </w:r>
    </w:p>
    <w:p>
      <w:r>
        <w:rPr>
          <w:b/>
        </w:rPr>
        <w:t>E. 5</w:t>
      </w:r>
    </w:p>
    <w:p>
      <w:r>
        <w:t>Dès lors que la demande qui est l'objet de la présente procédure de recours a été déposée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arrêt du TAF C-204/2008 du 5 mars 2009 consid. 4;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6.1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6.2</w:t>
      </w:r>
    </w:p>
    <w:p>
      <w:r>
        <w:t>Les conditions d'entrée prévues par le code frontières Schengen correspondent, pour l'essentiel, à celles posées à l'art. 1 al. 2 let. c et d OEArr. L'obligation faite à l'étranger de justifier l'objet et les conditions du séjour envisagé, telle que contenue à l'art. 5 par. 1 let. c du code frontières Schengen, n'est pas explicitement mentionnée à l'art. 1 al. 2 let. c OEArr. Cette disposition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6.3</w:t>
      </w:r>
    </w:p>
    <w:p>
      <w:r>
        <w:t>Au vu des considérations qui précèdent, l'examen de l'objet et des conditions du séjour envisagé au sens de l'art. 5 par. 1 let. c du code frontières Schengen correspond à l'examen de la garantie de sortie de Suisse au sens de l'art. 1 al. 2 let. c OEArr. Aussi la pratique et la jurisprudence appliquées à cette dernière disposition peuvent-elles être reprises.</w:t>
      </w:r>
    </w:p>
    <w:p>
      <w:r>
        <w:rPr>
          <w:b/>
        </w:rPr>
        <w:t>E. 7</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du Sénégal, B._______ est soumise à l'obligation du visa.</w:t>
      </w:r>
    </w:p>
    <w:p>
      <w:r>
        <w:rPr>
          <w:b/>
        </w:rPr>
        <w:t>E. 8.1</w:t>
      </w:r>
    </w:p>
    <w:p>
      <w:r>
        <w:t>Dans la décision attaquée, l'ODM a refusé d'autoriser la prénommée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8.2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8.3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8.4</w:t>
      </w:r>
    </w:p>
    <w:p>
      <w:r>
        <w:t>A ce sujet, il faut prendre en considération la qualité de vie et les conditions économiques et sociales difficiles que connaît l'ensemble de la population du Sénégal (pays dans lequel le PIB par habitant était de 710 USD en 2006 et le taux de chômage est estimé à 40% [source: site internet du Ministère français des affaires étrangères &gt; France-Diplomatie &gt; Pays-zones géo &gt; Sénégal &gt; Données générales; mise à jour: 18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8.5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9</w:t>
      </w:r>
    </w:p>
    <w:p>
      <w:r>
        <w:t>En l'espèce, selon les informations recueillies par le Bureau des étrangers de la commune d'Yverdon-les-Bains auprès de l'invitante, B._______ disposerait certes d'attaches au Sénégal, dès lors que, durant son éventuel séjour en Suisse, son époux resterait dans leur patrie avec leurs enfants (cf. courrier du 28 janvier 2008). Le TAF observe néanmoins qu'il est pour le moins surprenant que la prénommée n'ait pas fourni de livret de famille (cf. courrier de l'Ambassade de Suisse à Dakar du 5 décembre 2007) et que, dans son écrit du 30 novembre 2007, elle ait simplement exposé avoir son époux, ainsi que toute sa famille au Sénégal, sans toutefois préciser qu'elle avait des enfants. En tout état de cause, s'il convient d'admettre que les liens familiaux peuvent, dans une certaine mesure, inciter une personne à retourner dans le pays où elle réside, ils ne sauraient pour autant dissiper les doutes ci-dessus évoqués, la requérante étant susceptible, cas échéant, d'être rejointe ultérieurement par son époux et ses enfants grâce au groupement familial. Par ailleurs, dans sa demande de visa du 30 novembre 2007, l'intéressée a notamment déclaré qu'elle était commerçante et que la durée prévue du séjour était de trois mois. Or, ladite représentation a également indiqué, dans son courrier du 5 décembre 2007 précité, que l'invitée n'avait pas non plus transmis d'extrait du registre du commerce, que son compte bancaire n'avait été ouvert qu'au mois d'avril 2007 et qu'elle ne possédait ni factures, ni comptabilité attestant de son activité. Cette question peut cependant demeurer indécise. En effet, il sied de constater que la requérante semble être en mesure de quitter son commerce pendant un laps de temps relativement long, sans que cette absence ne crée apparemment de problèmes, de sorte que ses liens professionnels avec son pays d'origine ne sauraient être considérés comme suffisamment étroits pour garantir son retour à l'échéance de l'autorisation sollicitée, d'autant que l'on ne décèle aucun élément dans le dossier qui permette de conclure que sa situation financière se trouverait péjorée si elle devait, cas échéant, quitter son activité au Sénégal pour prendre un emploi en Suisse. Au surplus, il apparaît que, lors de sa venue en 2002, B._______ a sollicité une prolongation de deux mois de la durée de son visa (cf. courrier de l'Ambassade de Suisse à Dakar du 5 décembre 2007) et que l'invitante a elle-même épousé un ressortissant suisse - lequel est malheureusement décédé en 2002 - ce qui lui a permis de régler ses conditions de séjour dans ce pays. Au vu de ces antécédents, les risques de voir la prénommée prolonger son séjour en Suisse sont particulièrement élevés. Par surabondance, il sied de relever qu'un refus d'autorisation d'entrée prononcé par les autorités helvétiques n'a pas pour conséquence d'empêcher l'invitée de maintenir des liens avec sa soeur, celles-ci pouvant tout aussi bien se rencontrer au Sénégal, nonobstant les inconvénients d'ordre pratique ou de convenance personnelle que cela pourrait engendrer. La recourante a certes insisté sur le fait que l'intéressée viendrait en Suisse uniquement pour lui rendre visite et n'entendait pas y rester à demeure. Cependant, ces déclarations ne sauraient suffire à elles seules pour garantir le retour de l'intéressé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(cf. notamment arrêt du Tribunal administratif fédéral C-2017/2008 du 19 novembre 2008 p. 10 et jurisprudence citée).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A ce propos, il sied de souligner que le refus d'une autorisation d'entrée ne remet nullement en cause la bonne foi des personnes qui, résidant régulièrement en Suisse, ont invité un tiers domicilié à l'étranger pour un séjour touristique. Même s'il peut à première vue paraître sévère de refuser à une personne l'autorisation d'entrée dans un pays où séjournent des membres de sa parenté, cette situation ne diffère pas de celle de très nombreux autres étrangers désireux de se rendre en Suisse pour divers motifs. Au vu de l'ensemble des circonstances exposées ci-dessus, le TAF estime qu'il ne saurait être reproché à l'ODM d'avoir considéré que la sortie de B._______ de Suisse à l'échéance du visa requis n'était pas suffisamment assurée et, partant, d'avoir refusé la délivrance d'une autorisation d'entrée en sa faveur, d'autant que plusieurs visas Schengen lui ont déjà été refusés par le passé (cf. courrier de l'Ambassade de Suisse à Dakar du 5 décembre 2007).</w:t>
      </w:r>
    </w:p>
    <w:p>
      <w:r>
        <w:rPr>
          <w:b/>
        </w:rPr>
        <w:t>E. 10</w:t>
      </w:r>
    </w:p>
    <w:p>
      <w:r>
        <w:t>Il ressort de ce qui précède que la décision de l'ODM du 13 février 2008 est conforme au droit.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