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C-1659/2011 vom 11. Mai 2012</w:t>
      </w:r>
    </w:p>
    <w:p>
      <w:r>
        <w:t>Bundesverwaltungsgericht, 2012-05-11, FR</w:t>
      </w:r>
    </w:p>
    <w:p>
      <w:r>
        <w:rPr>
          <w:b/>
        </w:rPr>
        <w:t xml:space="preserve">Quelle: </w:t>
      </w:r>
      <w:r>
        <w:t>https://mcp.opencaselaw.ch/entscheid/bvger_C-1659_2011</w:t>
      </w:r>
    </w:p>
    <w:p>
      <w:r>
        <w:t>FR: TAF C-1659/2011 du 11 mai 2012</w:t>
      </w:r>
    </w:p>
    <w:p>
      <w:r>
        <w:t>IT: TAF C-1659/2011 del 11 maggio 2012</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p. 4 et jurisprudence citée).</w:t>
      </w:r>
    </w:p>
    <w:p>
      <w:r>
        <w:rPr>
          <w:b/>
        </w:rPr>
        <w:t>E. 3.1</w:t>
      </w:r>
    </w:p>
    <w:p>
      <w:r>
        <w:t>Le recourant se prévaut implicitement d'une violation du droit d'être entendu au motif que D._______ avait été auditionnée le 2 septembre 2010 sans que son conseil n'eût été averti de la date et de l'heure de cette audition et qu'il n'avait donc pas eu la possibilité d'assister à cette audition et de poser d'éventuelles questions complémentaires.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 Waldmann / Weissenberger [éd.], Praxiskommentar VwVG, Zurich 2009, ad art. 29 nos 28ss et 106ss, ainsi que les références citées).</w:t>
      </w:r>
    </w:p>
    <w:p>
      <w:r>
        <w:rPr>
          <w:b/>
        </w:rPr>
        <w:t>E. 3.2</w:t>
      </w:r>
    </w:p>
    <w:p>
      <w:r>
        <w:t>Le droit d'être entendu, dont la garantie se trouve inscrite à l'art. 29 al. 2 de la Constitution fédérale de la Confédération suisse du 18 avril 1999 (Cst. ;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II 286 consid. 5.1, 132 II 485 consid. 3 et ATF 127 I 54 consid. 2b ainsi que les références citées). Le droit d'être entendu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du dossier avant qu'une décision ne soit prise touchant sa situation juridique, soit le droit d'exposer ses arguments de droit, de fait ou d'opportunité, de répondre aux objections de l'autorité et de se déterminer sur les autres éléments du dossier (cf. ATF 135 I 187 consid. 2.2, ATF 132 II 485 consid. 3 et ATF 126 I 7 consid. 2b ; cf. également André Grisel, Traité de droit administratif, Neuchâtel 1984, vol. I, p. 380 ss et Fritz Gygi, Bundesverwaltungsrechtspflege, Berne 1983, p. 69). Le droit d'être entendu découlant de l'art. 29 al. 2 Cst. ne comprend toutefois pas le droit d'être entendu oralement, ni celui d'obtenir l'audition de témoins (ATF 130 II 425 consid. 2.1 et ATF 125 I 209 consid. 9b ainsi que les références citées).</w:t>
      </w:r>
    </w:p>
    <w:p>
      <w:r>
        <w:rPr>
          <w:b/>
        </w:rPr>
        <w:t>E. 3.3</w:t>
      </w:r>
    </w:p>
    <w:p>
      <w:r>
        <w:t>Dans sa jurisprudence constante (cf. arrêts du Tribunal fédéral 1C_420/2009 du 24 novembre 2009 consid. 3.1 et références citées), le Tribunal fédéral considère toutefois l'invocation de la violation du droit d'être entendu comme tardive lorsque, selon les règles de la bonne foi (art. 5 al. 3 Cst.), la partie soulevant ce grief aurait pu le faire plus tôt.</w:t>
      </w:r>
    </w:p>
    <w:p>
      <w:r>
        <w:rPr>
          <w:b/>
        </w:rPr>
        <w:t>E. 3.4</w:t>
      </w:r>
    </w:p>
    <w:p>
      <w:r>
        <w:t>En l'espèce, il apparaît que l'ODM a averti par écrit le recourant du fait que son ex-épouse, D._______, allait être auditionnée et lui a donné la possibilité d'assister à cette audition. Ceci n'est d'ailleurs pas contesté par le recourant. Le recourant se plaint en revanche du fait que la date et l'heure de cette audition ne lui ont pas été communiquées, malgré le fait qu'il s'en était enquis auprès du service compétent, de sorte qu'il n'a concrètement pas été en mesure d'assister à cette audition et d'exercer son droit d'être entendu. Cela étant, le recourant n'apporte aucune preuve du fait qu'il a manifesté sa volonté d'assister à l'audition en question. Certes, il a produit un fax adressé au service en question le 15 juillet 2010, par lequel il a transmis à ce dernier copie de la lettre de l'ODM reçue la veille « pour (...) information ». Toutefois, la formulation de ce courrier n'est pas révélatrice d'une quelconque volonté de son rédacteur de prendre part à l'audition susmentionnée. Il n'est donc pas possible de retenir - sur la base de ce seul document - que le recourant a exprimé sa volonté d'être présent lors de l'audition en question, d'autant que cette dernière s'est déroulée près d'un mois et demi plus tard et que, dans l'intervalle, le recourant ne s'est pas manifesté d'une manière ou d'une autre auprès des autorités concernées. A cela s'ajoute un autre élément. Le Tribunal constate que l'ODM a communiqué au recourant le procès-verbal de l'audition de D._______ du 2 septembre 2010 et lui a donné la possibilité de faire part de ses déterminations à ce sujet. Après avoir pris connaissance des déclarations de son ex-épouse lors de cette audition, le recourant a déposé ses observations le 9 décembre 2010, mais il n'a alors, ni invoqué avoir été privé de la possibilité d'assister à cette audition, ni demandé à ce que son ex-épouse soit réentendue le cadre d'une audition à laquelle il pourrait assister et poser des questions complémentaires, ni remis en cause le contenu de ce procès-verbal. Il s'est seulement limité à reprendre plusieurs des déclarations de son ex-épouse, notamment au sujet de leur vie commune et des raisons de leur séparation, tout en se ralliant en substance aux explications qu'elle avait fournies sur le déroulement de leur vie conjugale. Ce n'est que dans le cadre de son recours du 16 mars 2011 qu'il a, pour la première fois, soulevé le grief de violation du droit d'être entendu, alors qu'il lui appartenait de s'en prévaloir déjà dans le cadre de la procédure ouverte devant l'autorité de première instance. Dans ces circonstances et considération de la jurisprudence du Tribunal fédéral citée ci-avant, le Tribunal considère que, même si l'hypothèse avancée par le recourant était correcte, à savoir qu'il a été empêché d'assister à l'audition faute d'avoir été averti de la date et de l'heure de celle-ci, ce qui n'est pas établi, le grief de violation du droit d'être entendu est de toute manière tardif et doit ainsi être rejeté.</w:t>
      </w:r>
    </w:p>
    <w:p>
      <w:r>
        <w:rPr>
          <w:b/>
        </w:rPr>
        <w:t>E. 3.5</w:t>
      </w:r>
    </w:p>
    <w:p>
      <w:r>
        <w:t>Une toute autre question est celle de la requête du recourant tendant à ce que le Tribunal procède, en sa présence ou celle de son mandataire, à une nouvelle audition de D._______ sur les faits ayant donné lieu de l'audition du 2 septembre 2010. Cette problématique, bien distincte de la précédente, sera tranchée dans le cadre du consid. 7 ci-après.</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w:t>
      </w:r>
    </w:p>
    <w:p>
      <w:r>
        <w:rPr>
          <w:b/>
        </w:rPr>
        <w:t>E. 5.1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w:t>
      </w:r>
    </w:p>
    <w:p>
      <w:r>
        <w:rPr>
          <w:b/>
        </w:rPr>
        <w:t>E. 6</w:t>
      </w:r>
    </w:p>
    <w:p>
      <w:r>
        <w:t>A titre liminaire, le Tribunal constate que les conditions formelles de l'annulation de la naturalisation facilitée prévues à l'art. 41 LN sont réalisées dans le cas particulier. En effet, la naturalisation facilitée accordée le 26 mai 2006 à A._______ a été annulée par l'ODM le 8 février 2011, soit avant l'échéance du délai péremptoire prévu par la disposition précitée, dans sa version en vigueur à cette date, et avec l'assentiment de l'autorité compétente du canton d'origine.</w:t>
      </w:r>
    </w:p>
    <w:p>
      <w:r>
        <w:rPr>
          <w:b/>
        </w:rPr>
        <w:t>E. 7</w:t>
      </w:r>
    </w:p>
    <w:p>
      <w:r>
        <w:t>Il convient dès lors d'examiner si les circonstances de l'espèce répondent aux conditions matérielles de l'annulation de la naturalisation facilitée.</w:t>
      </w:r>
    </w:p>
    <w:p>
      <w:r>
        <w:rPr>
          <w:b/>
        </w:rPr>
        <w:t>E. 7.1</w:t>
      </w:r>
    </w:p>
    <w:p>
      <w:r>
        <w:t>Dans le cas particulier, l'autorité inférieure a retenu, dans la décision querellée, que l'enchaînement des événements fondait la présomption de fait que A._______ avait obtenu la naturalisation frauduleusement et a constaté que le prénommé n'avait apporté aucun élément permettant de renverser cette présomption. Pour étayer son avis, l'ODM a relevé en particulier que le prénommé, sous le coup de deux mesures de renvoi à la suite du rejet de ses deux demandes d'asile a entamé un relation avec une jeune fille de dix-sept ans qui a débouché sur un mariage lui permettant de régulariser sa situation en Suisse, qu'il a conçu un deuxième enfant avec son ex-épouse kosovare au moment même de son mariage avec D._______, alors que le jugement de divorce du 26 avril 2011 mentionnait pourtant une rupture irrémédiable des liens conjugaux et une vie conjugale insupportable avec son ex-épouse kosovare, que la conception de cet enfant mise en parallèle avec son refus d'avoir des enfants communiqué à son épouse suisse peu après sa naturalisation était d'autant plus significatif d'un abus en matière de naturalisation et que les démarches entreprises par son ex-épouse kosovare en vue d'un regroupement familial en Suisse avec celui qu'elle nomme son époux mettaient définitivement à jour les objectifs de l'intéressé et leur planification. L'examen des faits pertinents de la cause amène le Tribunal à une conclusion identique, que viennent encore confirmer d'autres indices.</w:t>
      </w:r>
    </w:p>
    <w:p>
      <w:r>
        <w:rPr>
          <w:b/>
        </w:rPr>
        <w:t>E. 7.2</w:t>
      </w:r>
    </w:p>
    <w:p>
      <w:r>
        <w:t>Tout d'abord, il est marquant de constater que le recourant s'est marié avec D._______ un mois seulement après son divorce du 26 avril 2001 et qu'il est ensuite aussitôt retourné auprès de son ex-épouse kosovare pour entretenir des relations sexuelles avec elle, alors même que leur divorce venait d'être prononcé, en raison d'une "vie conjugale insupportable", et alors même qu'il venait d'épouser une ressortissante suisse qui s'était déplacée au Kosovo pour leur mariage. Dans ce contexte, l'argument avancé par le recourant, au demeurant peu crédible, selon lequel il aurait ignoré jusqu'en 2009 qu'il était le père de l'enfant E._______, n'a guère de portée sur l'analyse des faits précités, dès lors qu'il ne remet nullement en cause le fait que l'intéressé avait conçu cet enfant presque simultanément à son mariage avec D._______.</w:t>
      </w:r>
    </w:p>
    <w:p>
      <w:r>
        <w:rPr>
          <w:b/>
        </w:rPr>
        <w:t>E. 7.3</w:t>
      </w:r>
    </w:p>
    <w:p>
      <w:r>
        <w:t>Le Tribunal remarque ensuite que A._______ n'a mentionné aucun des deux enfants nés de ses relations avec B._______ dans sa demande de naturalisation facilitée, alors même qu'il avait été expressément invité à le faire. A supposer même qu'il n'ait réellement appris sa paternité sur l'enfant E._______ qu'en septembre 2009, comme il le prétend, il n'en a pas moins caché aux autorités qu'il était le père de l'enfant C._______, issu de son premier mariage, information qu'il se devait de communiquer s'il entendait présenter sa réelle situation familiale aux autorités chargées d'examiner sa demande de naturalisation et de se prononcer sur celle-ci en juste connaissance de cause.</w:t>
      </w:r>
    </w:p>
    <w:p>
      <w:r>
        <w:rPr>
          <w:b/>
        </w:rPr>
        <w:t>E. 7.4</w:t>
      </w:r>
    </w:p>
    <w:p>
      <w:r>
        <w:t>Enfin, le Tribunal relève qu'aussitôt après le jugement du Tribunal d'arrondissement de l'Est vaudois du 12 janvier 2009 prononçant son divorce d'avec D._______, le recourant a sollicité, le 23 janvier 2009, l'octroi d'un visa d'entrée en Suisse pour B._______ et son fils E._______, étant précisé que son premier enfant C._______ l'avait déjà rejoint en Suisse dans l'intervalle. Cette démarche tend à confirmer les liens qu'il avait conservés avec son ex-épouse kosovare et son désir d'entreprendre rapidement une procédure lui permettant de venir en Suisse. Il est symptomatique de constater à cet égard que, trois mois seulement après le rejet, le 9 septembre 2009, de la demande de visa d'entrée en Suisse de B._______ (et de son fils E._______), la prénommée a déposé, le 15 décembre 2009, une nouvelle demande d'autorisation d'entrée et de séjour en Suisse, cette fois-ci expressément formulée en vue d'un regroupement familial avec A._______, requête qui ne laisse planer aucun doute sur ses relations avec celui-ci. L'argument du recourant, selon lequel le terme "Eheman" apparu dans cette demande à l'Ambassade de Suisse à Pristina résultait d'une incompréhension ou d'une erreur, n'est guère pertinent, dès lors que cette demande visait clairement la réunification familiale en Suisse de B._______ avec A._______, puisqu'une procédure en vue du (re)mariage des prénommés avait alors été ouverte.</w:t>
      </w:r>
    </w:p>
    <w:p>
      <w:r>
        <w:rPr>
          <w:b/>
        </w:rPr>
        <w:t>E. 7.5</w:t>
      </w:r>
    </w:p>
    <w:p>
      <w:r>
        <w:t>Au regard de ces éléments, le Tribunal estime que l'ODM était fondé à poser la présomption de fait que la naturalisation facilitée avait été obtenue frauduleusement. A ce stade, il s'agit de se pencher sur la requête du recourant, tendant à une audition de D._______ devant le Tribunal de céans sur les faits ayant donné lieu à l'audition du 2 septembre 2010. Il sied de rappeler à cet égard que le Tribunal peut se dispenser de procéder à des mesures d'investigation complémentaires, s'il estime que l'état de fait pertinent est suffisamment établi sur la base des pièces du dossier afférent à la présente cause (cf. ATF 136 I 229 consid. 5.3, p. 236 s., ATF 130 II 169 consid. 2.3.2 et 2.3.3 p. 172 s., et les références citées). Le Tribunal est ainsi fondé à mettre un terme à l'instruction lorsque les preuves administrées lui ont permis de former sa conviction et que, procédant d'une manière non arbitraire à une appréciation anticipée des preuves qui lui sont proposées, il a la certitude qu'elles ne pourraient l'amener à modifier son opinion (cf. arrêt du Tribunal administratif fédéral C-7793/2010 du 15 juillet 2011 consid. 8 et la jurisprudence citée). Cela étant, le Tribunal estime en l'espèce qu'une audition de D._______ ne se justifie pas. En effet, les pièces du dossier mettent clairement en lumière l'enchaînement chronologique des événements, tel qu'évoqué ci-avant, sans qu'il y ait lieu d'entendre l'ex-épouse à ce sujet. Les déclarations de cette dernière ne seraient pas susceptible de changer quoi que ce soit à cet enchaînement. Il y a dès lors lieu de renoncer à cette audition, par appréciation anticipée des preuves.</w:t>
      </w:r>
    </w:p>
    <w:p>
      <w:r>
        <w:rPr>
          <w:b/>
        </w:rPr>
        <w:t>E. 7.6</w:t>
      </w:r>
    </w:p>
    <w:p>
      <w:r>
        <w:t>Compte tenu des conclusions qui précèdent, il est inutile de se prononcer sur d'autres éléments qui, selon l'ODM, accréditeraient encore la présomption de fait qui a été retenue ci-avant. Il en va ainsi de la date à laquelle le recourant a communiqué à son ex-épouse suissesse qu'il ne souhaitait pas avoir d'enfant avec elle. Certes, le recourant affirme avoir toujours été transparent vis-à-vis de celle-ci à ce sujet, en communiquant d'emblée son refus. Au contraire, son ex-épouse a évoqué, dans ses déclarations du 2 septembre 2010 que le recourant était initialement d'accord de fonder une famille et lui aurait fait connaître son revirement uniquement lors de leurs vacances en Thaïlande en septembre 2006, soit peu après l'octroi de la naturalisation facilitée (cf. procès-verbal d'audition de D._______ du 2 septembre 2010, réponses 11, 12 et 30). Il n'est toutefois pas crucial de connaître la date à laquelle le recourant a manifesté à l'adresse de son ex-épouse qu'il ne voulait pas d'enfant avec elle puisque cet élément ne changerait rien aux conclusions précitées relatives à la présomption de fait que la naturalisation facilitée a été obtenue frauduleusement. Pour les mêmes motifs, une audition de D._______ à ce propos apparaît inutile puisque d'éventuelles déclarations de sa part - même à supposer qu'elles soient diamétralement contraires à celles qu'elle a déjà faites devant l'instance précédente, en ce sens qu'elle viendrait par hypothèse affirmer que le recourant a manifesté dès le début qu'il ne souhaitait pas avoir d'enfant avec elle - ne changeraient rien aux conclusions résultant déjà des consid. 7.2 à 7.5 ci-avant. 8.A ce stade et conformément à la jurisprudence du Tribunal fédéral, il convient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au moment de la signature de la déclaration commune (cf. ATF 135 II 161 consid. 3; cf. également l'arrêt du Tribunal fédéral 1C_474/2009 du 21 décembre 2009 consid. 2.2.2). Or, force est de constater que le recourant n'a pu rendre vraisemblable, ni la survenance d'un événement extraordinaire permettant d'expliquer une dégradation rapide du lien conjugal avec son ex-épouse après l'obtention de la naturalisation facilitée, ni le fait qu'il n'avait pas conscience de l'évolution négative de son couple au moment où il a signé la déclaration commune sur la stabilité de leur union conjugale. Quant aux problèmes de santé de D._______, le recourant ne va pas jusqu'à affirmer qu'il s'agirait là d'un évènement extraordinaire expliquant à lui seul la dégradation subite du lien conjugal après l'octroi de la naturalisation facilitée. Le recourant évoque bien plutôt "sans pour autant avoir la prétention d'expliquer les raisons ayant conduit au divorce des époux" la probabilité qu'une "certaine usure relative à des thèmes (i.e. les relations familiales et le sujet concernant d'éventuels enfants) plus sensibles se soit installée au fil des années, laquelle ait pu conduire les époux à décider de finalement divorcer" (cf. recours, p. 7 in fine et 8). Il décrit dès lors en somme un phénomène progressif qui a débuté avant la décision de naturalisation facilitée. Certes, il a révisé ses déclarations par la suite, dépeignant "des difficultés conjugales liées en particulier à la maladie de Madame Wyss qui (se serait) déclarée à l'automne 2006 et à la conception différente des époux sur la question des enfants" (cf. observations du 23 juin 2011 p. 2). Toutefois, l'évocation de la maladie de l'ex-épouse comme éventuelle cause de la désunion est intervenue à un stade très avancé dans la procédure. Elle n'est dès lors guère crédible. A cela s'ajoute qu'elle est singulièrement succincte, le recourant n'expliquant pas la nature et l'importance des difficultés conjugales prétendument générées par l'état de santé défaillant de l'ex-épouse, ce qui s'avérerait indispensable pour convaincre qu'elles ont engendré une aussi rapide déliquescence de l'union conjugale. Quant à l'audition de l'ex-épouse, telle que requise par le recourant, elle ne saurait suppléer à cette motivation lacunaire. Partant, à défaut d'éléments convaincants susceptibles d'expliquer une soudaine dégradation du lien conjugal après l'octroi de la naturalisation facilitée, il y a lieu de s'en tenir à la présomption de fait que cette naturalisation facilitée a été obtenue de façon frauduleuse (cf. ATF 130 II 482). Il importe peu à cet égard que la séparation ait été le fait de l'épouse du recourant. En effet, le fait que le lien conjugal ait été rompu de facto quelques mois seulement après l'obtention de la naturalisation facilitée le 26 mai 2006 et qu'il ait été suivi du départ de l'épouse du domicile conjugal dans les premiers mois de 2007 amène à la conclusion que la communauté conjugale vécue par les époux A._______-D._______ ne présentait pas, pour le recourant tout au moins, l'intensité et la stabilité requises lors de la signature de la déclaration commune et, partant, lors de la décision de naturalisation. Cela étant, les arguments avancés par le recourant au sujet de la durée de son séjour en Suisse et de sa bonne intégration socioprofessionnelle dans ce pays sont sans pertinence pour l'issue du présent litige, dès lors que celui-ci est limité au seul examen des conditions dans lesquelles l'intéressé a obtenu la naturalisation facilitée (cf. l'arrêt du Tribunal fédéral 5A.6/2003 du 24 juillet 2003 consid. 3.2). 9.En conséquence, le Tribunal de céans arrive à la conclusion qu'il y a lieu de s'en tenir à la présomption de fait, basée essentiellement sur les événements relatés ci-dessus, que la naturalisation facilitée a été obtenue de façon frauduleuse. Partant, si tant est que le recourant et son ex-épouse aient voulu fonder une communauté conjugale effective, au sens de l'art. 28 LN, l'autorité inférieure pouvait considérer, à bon droit, que cette volonté n'existait plus, s'agissant tout au moins du recourant, lors de la signature de la déclaration commune ou, a fortiori, au moment de l'octroi de la nationalité suisse. Or, celle-ci n'aurait pas été accordée à A._______ si les autorités avaient eu connaissance de cet élément. 10.En vertu de l'art. 41 al. 3 LN, sauf décision expresse, l'annulation fait également perdre la nationalité suisse aux membres de la famille qui l'ont acquise en vertu de la décision annulée. En l'espèce, C._______ et E._______ n'ont pas été inclus dans la décision de naturalisation de A._______, si bien que le Tribunal n'a pas à se prononcer sur la question de l'éventuelle extension, à leur égard, de l'annulation de la naturalisation facilitée de leur père. 11.Il ressort de ce qui précède que, par sa décision du 8 février 2011, l'ODM n'a ni violé le droit fédéral ni constaté des faits pertinents de manière inexacte ou incomplète; en outre, cette décision n'est pas inopportune (cf. art. 49 PA). Le recours est en conséquence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