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C-1650/2022 vom 16. März 2022</w:t>
      </w:r>
    </w:p>
    <w:p>
      <w:r>
        <w:t>Bundesverwaltungsgericht, 2022-03-16, DE</w:t>
      </w:r>
    </w:p>
    <w:p>
      <w:r>
        <w:rPr>
          <w:b/>
        </w:rPr>
        <w:t xml:space="preserve">Quelle: </w:t>
      </w:r>
      <w:r>
        <w:t>https://mcp.opencaselaw.ch/entscheid/bvger_C-1650_2022_d20220316</w:t>
      </w:r>
    </w:p>
    <w:p>
      <w:r>
        <w:t>FR: TAF C-1650/2022 du 16 mars 2022</w:t>
      </w:r>
    </w:p>
    <w:p>
      <w:r>
        <w:t>IT: TAF C-1650/2022 del 16 marzo 2022</w:t>
      </w:r>
    </w:p>
    <w:p>
      <w:pPr>
        <w:pStyle w:val="Heading2"/>
      </w:pPr>
      <w:r>
        <w:t>Regeste</w:t>
      </w:r>
    </w:p>
    <w:p>
      <w:r>
        <w:t>Zwangsanschluss an die Auffangeinrichtung | BVG, Wiedererwägung Zwangsanschluss, Verfahrenskosten; Verfügung der Stiftung Auffangeinrichtung BVG vom 16. März 2022</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ausgerichtet.</w:t>
      </w:r>
    </w:p>
    <w:p>
      <w:r>
        <w:rPr>
          <w:b/>
        </w:rPr>
        <w:t>E. 4</w:t>
      </w:r>
    </w:p>
    <w:p>
      <w:r>
        <w:t>Dieses Urteil geht an den Beschwerdeführer, die Vorinstanz, das Bundesamt für Sozialversicherungen und die Oberaufsichtskommission BVG. Für die Rechtsmittelbelehrung wird auf die nächste Seite verwiesen. Die Einzelrichterin: Die Gerichtsschreiberin: Regina Derrer Karin Wagner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