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C-164/2006 vom 4. August 2007</w:t>
      </w:r>
    </w:p>
    <w:p>
      <w:r>
        <w:t>Bundesverwaltungsgericht, 2007-08-04, DE</w:t>
      </w:r>
    </w:p>
    <w:p>
      <w:r>
        <w:rPr>
          <w:b/>
        </w:rPr>
        <w:t xml:space="preserve">Quelle: </w:t>
      </w:r>
      <w:r>
        <w:t>https://mcp.opencaselaw.ch/entscheid/bvger_C-164_2006</w:t>
      </w:r>
    </w:p>
    <w:p>
      <w:r>
        <w:t>FR: TAF C-164/2006 du 4 août 2007</w:t>
      </w:r>
    </w:p>
    <w:p>
      <w:r>
        <w:t>IT: TAF C-164/2006 del 4 agosto 2007</w:t>
      </w:r>
    </w:p>
    <w:p>
      <w:pPr>
        <w:pStyle w:val="Heading2"/>
      </w:pPr>
      <w:r>
        <w:t>Regeste</w:t>
      </w:r>
    </w:p>
    <w:p>
      <w:r>
        <w:t>Einreise</w:t>
      </w:r>
    </w:p>
    <w:p>
      <w:pPr>
        <w:pStyle w:val="Heading2"/>
      </w:pPr>
      <w:r>
        <w:t>Erwägungen</w:t>
      </w:r>
    </w:p>
    <w:p>
      <w:r>
        <w:rPr>
          <w:b/>
        </w:rPr>
        <w:t>E. 1.1</w:t>
      </w:r>
    </w:p>
    <w:p>
      <w:r>
        <w:t>Verfügungen des BFM betreffend Einreisesperren unterliegen der Beschwerde an das Bundesverwaltungsgericht (Art. 20 Abs. 1 des Bundesgesetzes vom 26. März 1931 über Aufenthalt und Niederlassung der Ausländer [ANAG, SR 142.20] i.V.m. Art. 31 ff. des Verwaltungsgerichtsgesetzes vom 17. Juni 2005 [VGG, SR 173.32]).</w:t>
      </w:r>
    </w:p>
    <w:p>
      <w:r>
        <w:rPr>
          <w:b/>
        </w:rPr>
        <w:t>E. 1.2</w:t>
      </w:r>
    </w:p>
    <w:p>
      <w:r>
        <w:t>Zum Zeitpunkt des Inkrafttretens des Verwaltungsgerichtsgesetzes beim EJPD bereits hängige Rechtsmittelverfahren, die Einreisesperren zum Gegenstand haben, werden vom Bundesverwaltungsgericht übernommen. Die Beurteilung erfolgt nach neuem Verfahrensrecht (vgl. Art. 53 Abs. 2 VGG). Gemäss Art. 37 VGG richtet sich das Verfahren vor dem Bundesverwaltungsgericht nach dem Bundesgesetz vom 20. Dezember 1968 über das Verwaltungsverfahren (VwVG, SR 172.021), soweit das Verwaltungsgerichtsgesetz nichts anderes bestimmt. Das Bundesverwaltungsgericht entscheidet in der Beschwerdeangelegenheit endgültig (Art. 1 Abs. 2 VGG i.V.m. Art. 83 Bst. c Ziff. 1 des Bundesgerichtsgesetzes vom 17. Juni 2005 [BGG, SR 173.110]).</w:t>
      </w:r>
    </w:p>
    <w:p>
      <w:r>
        <w:rPr>
          <w:b/>
        </w:rPr>
        <w:t>E. 1.3</w:t>
      </w:r>
    </w:p>
    <w:p>
      <w:r>
        <w:t>Der Beschwerdeführer ist als Adressat der angefochtenen Verfügung zur Beschwerdeführung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Das BFM kann über unerwünschte Ausländer die Einreisesperre verhängen. Es kann ferner, jedoch für höchstens drei Jahre, die Einreisesperre verhängen über Ausländer,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 (Art. 13 Abs. 1 i.V.m. Art. 15 Abs. 3 ANAG).</w:t>
      </w:r>
    </w:p>
    <w:p>
      <w:r>
        <w:rPr>
          <w:b/>
        </w:rPr>
        <w:t>E. 3.2.1</w:t>
      </w:r>
    </w:p>
    <w:p>
      <w:r>
        <w:t>Die Einreisesperre ist ihrer Natur nach eine präventivpolizeiliche Administrativmassnahme. Sie will der Gefahr künftiger Störungen der öffentlichen Ordnung und Sicherheit sowie anderer unter den Schutz der Fremdenpolizei fallender Polizeigüter begegnen, die von einem Ausländer ausgeht (zum Kreis der Polizeigüter im Fremdenpolizeirecht vgl. BGE 98 Ib 85 ff. E. 2C S. 89, 98 Ib 465 ff. E. 3A S. 467 f.). Ob eine Polizeigefahr im oben dargelegten Sinne besteht, lässt sich naturgemäss nur in Form einer Prognose beurteilen, die sich auf das bisherige Verhalten des Ausländers abstützt. In diesem Sinne gelten nach ständiger Praxis Ausländer als "unerwünscht", deren Vorleben darauf schliessen lässt, dass sie nicht willens oder nicht fähig sind, sich in die geltende Ordnung einzufügen und deren Fernhaltung daher im öffentlichen Interesse liegt (BGE 128 IV 246 E. 3.2 S. 251; Entscheide des EJPD, publ. in Verwaltungspraxis des Bundes [VPB] 63.1,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 Der Tatbestand der Unerwünschtheit wird deshalb typischerweise durch die Straffälligkeit einer ausländischen Person gesetzt. Die Unerwünschtheit kann freilich auch andere Ursachen haben. Namentlich ist nach der vom EJPD übernommenen Rechtsprechung des Bundesverwaltungsgerichts (vgl. Urteil 593/2006 vom 19. März 2007) dann von einem klaren und schwerwiegenden Verstoss gegen die öffentliche Ordnung auszugehen, wenn eine ausländische Person die Ehe allein deshalb eingeht, um ausländerrechtliche Bestimmungen zu umgehen und damit die zuständigen Behörden zu täuschen. Eine solche "Ausländerrechtsehe" oder "Scheinehe" gilt nicht als Zuwiderhandlung gegen fremdenpolizeiliche Vorschriften im Sinne von Art. 13 Abs. 1 Satz 2 ANAG, sondern stellt einen Verstoss gegen die öffentliche Ordnung ("ordre public") im Sinne von Art. 13 Abs. 1 Satz 1 ANAG dar, weshalb eine ausländische Person auch dann als unerwünscht zu betrachten ist, wenn sie eine Ehe aus sachfremden Gründen eingeht.</w:t>
      </w:r>
    </w:p>
    <w:p>
      <w:r>
        <w:rPr>
          <w:b/>
        </w:rPr>
        <w:t>E. 3.2.2</w:t>
      </w:r>
    </w:p>
    <w:p>
      <w:r>
        <w:t>Der Beschwerdeführer bestreitet (wie schon im Zusammenhang mit dem vorangegangenen Verfahren, das zum Widerruf der Niederlassungsbewilligung und zur Wegweisung aus der Schweiz führte) auch im vorliegenden Verfahren, eine Scheinehe eingegangen zu sein. In besagtem kantonalen Verfahren wurde die Feststellung des Ausländeramtes, wonach es sich bei der Verbindung zwischen dem Beschwerdeführer und seiner Schweizerischen Ehegattin um eine Scheinehe handelte, von allen dagegen angerufenen Rechtsmittelinstanzen bis hin zum Bundesgericht einlässlich geprüft und bestätigt. Das Bundesverwaltungsgericht hat keinen Anlass, von der dabei vorgenommenen Sachverhaltswürdigung abzuweichen, zumal sich der Beschwerdeführer in seiner Rechtsmitteleingabe darauf beschränkt, den Sachverhalt erneut und einseitig aus seiner Sicht zu schildern, ohne auf die zahlreichen Indizien einzugehen, welche die Vorinstanzen zu ihrer Beurteilung herangezogen haben. Vor diesem Hintergrund ist nicht zu beanstanden, wenn die Vorinstanz in der angefochtenen Verfügung davon ausging, der Beschwerdeführer habe durch das Eingehen einer Scheinehe zu Klagen Anlass gegeben und er sei deshalb als unerwünschter Ausländer im Sinne von Art. 13 Abs. 1 Satz 1 ANAG zu betrachten.</w:t>
      </w:r>
    </w:p>
    <w:p>
      <w:r>
        <w:rPr>
          <w:b/>
        </w:rPr>
        <w:t>E. 3.3</w:t>
      </w:r>
    </w:p>
    <w:p>
      <w:r>
        <w:t>Die vom Beschwerdeführer erhobene Rüge, wonach die Einreisesperre gegen das verfassungsmässig geschützte Recht auf persönliche Freiheit bzw. Bewegungsfreiheit und den Schutz der Privatsphäre verstosse, erweist sich, da ohne jede rechtliche Substanz, als unbegründet.</w:t>
      </w:r>
    </w:p>
    <w:p>
      <w:r>
        <w:rPr>
          <w:b/>
        </w:rPr>
        <w:t>E. 3.4.1</w:t>
      </w:r>
    </w:p>
    <w:p>
      <w:r>
        <w:t>Zu prüfen bleibt somit, ob die Anordnung der Einreisesperre und deren Dauer von fünf Jahren in Berücksichtigung der konkreten Umstände des Einzelfalles als verhältnismässig und angemessen erscheint (vgl. Art. 49 Bst. a und c VwVG). In die rechtskonforme Ermessensausübung haben der Grundsatz des Gesetzesvorranges (darunter fällt namentlich die verfassungskonforme Ermessensausübung, vgl. Jörg Paul Müller, Elemente einer schweizerischen Grundrechtstheorie, Bern 1982, S. 77 ff.) und die allgemeinen Grundsätze des Verwaltungshandelns einzufliessen, wie das Willkürverbot, das Gebot der rechtsgleichen Behandlung, das Gebot von Treu und Glauben und der Grundsatz der Verhältnismässigkeit von Verwaltungsakten.</w:t>
      </w:r>
    </w:p>
    <w:p>
      <w:r>
        <w:rPr>
          <w:b/>
        </w:rPr>
        <w:t>E. 3.4.2</w:t>
      </w:r>
    </w:p>
    <w:p>
      <w:r>
        <w:t>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dafür die Grundlage (vgl. statt vieler vgl. René A. Rhinow / Beat Krähenmann, Schweizerische Verwaltungsrechtsprechung, Ergänzungsband zur 5. und 6. Auflage von Imboden / Rhinow, Basel und Frankfurt a.M. 1990, Nr. 67, S. 211. f., mit Hinweisen; Ulrich Häfelin / Georg Müller / Felix Uhlmann, Allgemeines Verwaltungsrecht, 5. Aufl., Zürich und St. Gallen 2006, S. 127 f.).</w:t>
      </w:r>
    </w:p>
    <w:p>
      <w:r>
        <w:rPr>
          <w:b/>
        </w:rPr>
        <w:t>E. 3.4.3</w:t>
      </w:r>
    </w:p>
    <w:p>
      <w:r>
        <w:t>Wie bereits erwähnt, hat der Beschwerdeführer durch sein Verhalten zu Klagen Anlass gegeben. Er hat durch das Eingehen einer Scheinehe die schweizerischen Behörden getäuscht und auf diese Weise ein Aufenthaltsrecht erwirkt. Ein gewichtiges öffentliches Interesse an der Fernhaltung des Beschwerdeführers ergibt sich deshalb ohne weiteres aus dessen Qualifizierung als unerwünschte Person. Dieses Verhalten, welches vorab auf die Erlangung persönlicher Vorteile ausgerichtet war, vermittelt das Bild einer Geringschätzung hiesiger Konventionen und Gesetzesnormen. Sowohl aus Gründen der Spezial- als auch der Generalprävention bestehen somit gewichtige öffentliche Interessen an einer Fernhaltung des Beschwerdeführers.</w:t>
      </w:r>
    </w:p>
    <w:p>
      <w:r>
        <w:rPr>
          <w:b/>
        </w:rPr>
        <w:t>E. 3.4.4</w:t>
      </w:r>
    </w:p>
    <w:p>
      <w:r>
        <w:t>Persönliche Interessen daran, nicht mit einer Fernhaltemassnahme belegt zu werden, macht der Beschwerdeführer vor allem in Form einer laufenden medizinischen Behandlung geltend. Die eingereichten Atteste belegen, dass er sich in der zweiten Jahreshälfte 2006 wegen einer langdauernden Schmerzstörung in Behandlung befand. Diese Umstände können im Zusammenhang mit der Interessenabwägung nicht von ausschlaggebender Bedeutung sein. Zum einen wurde nur behauptet, in keiner Weise aber belegt, dass eine adäquate Behandlung im Heimatland nicht sicherzustellen ist. Zum andern ist das Interesse an einer Fortführung der Therapie in der Schweiz nicht erst durch die Fernhaltemassnahme, sondern schon durch die seit Sommer 2006 fehlende Aufenthaltsregelung tangiert. Denn es ist nicht davon auszugehen, dass eine solche Therapie (wie sie gemäss den eingereichten Attesten angewendet wurde) in der Schweiz weitergeführt werden kann, wenn der (visumspflichtige) Beschwerdeführer zu den jeweiligen Terminen aus dem Kosovo anreisen müsste. Für den Fall, dass eine Weiterbehandlung in der Schweiz trotz dieser geografischen Distanz als medizinisch indiziert erachtet werden sollte, bestünde die Möglichkeit, einzelfallweise die zeitlich befristete Ausserkraftsetzung der Fernhaltemassnahme bei der Vorinstanz zu beantragen (sog. Suspension, vgl. Art. 13 Abs. 1 in fine ANAG).</w:t>
      </w:r>
    </w:p>
    <w:p>
      <w:r>
        <w:rPr>
          <w:b/>
        </w:rPr>
        <w:t>E. 3.4.5</w:t>
      </w:r>
    </w:p>
    <w:p>
      <w:r>
        <w:t>Den erheblichen öffentlichen Interesse stehen solchermassen keine besonders gewichtigen privaten Interessen des Rekurrenten gegenüber, in naher Zukunft ohne besondere Restriktionen in die Schweiz einreisen zu können.</w:t>
      </w:r>
    </w:p>
    <w:p>
      <w:r>
        <w:rPr>
          <w:b/>
        </w:rPr>
        <w:t>E. 3.4.6</w:t>
      </w:r>
    </w:p>
    <w:p>
      <w:r>
        <w:t>Was den Hinweis des Beschwerdeführers auf seinen langen Voraufenthalt in der Schweiz betrifft, so lässt sich damit die Angemessenheit der Einreisesperre in ihrer zeitlichen Dauer nicht ernsthaft in Frage stellen. Die Bedeutung dieses Voraufenthaltes gilt es gleich in mehrfacher Hinsicht zu relativieren. In den ersten sechs Jahren hielt er sich lediglich im Rahmen von Saisonbewilligungen in der Schweiz auf. Daneben gründete er in seinem Heimatland eine eigene Familie. Die daran anschliessende Zeit beruhte im Wesentlichen auf Bewilligungen, die - wie aufgezeigt - auf missbräuchliche Weise erwirkt worden waren.</w:t>
      </w:r>
    </w:p>
    <w:p>
      <w:r>
        <w:rPr>
          <w:b/>
        </w:rPr>
        <w:t>E. 3.4.7</w:t>
      </w:r>
    </w:p>
    <w:p>
      <w:r>
        <w:t>Eine wertende Gewichtung der sich entgegenstehenden Interessen führt das Bundesverwaltungsgericht zum Schluss, dass die auf fünf Jahre verhängte Einreisesperre sowohl von ihrem Grundsatz her als auch in ihrer Dauer eine verhältnismässige und angemessene Massnahme zum Schutz der öffentlichen Ordnung und Sicherheit darstellt.</w:t>
      </w:r>
    </w:p>
    <w:p>
      <w:r>
        <w:rPr>
          <w:b/>
        </w:rPr>
        <w:t>E. 4</w:t>
      </w:r>
    </w:p>
    <w:p>
      <w:r>
        <w:t>Die Vorinstanz verletzte mit der angefochtenen Verfügung kein Bundesrecht (Art. 49 VwVG). Die Beschwerde ist daher abzuweisen.</w:t>
      </w:r>
    </w:p>
    <w:p>
      <w:r>
        <w:rPr>
          <w:b/>
        </w:rPr>
        <w:t>E. 5</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