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C-1649/2007 vom 9. September 2008</w:t>
      </w:r>
    </w:p>
    <w:p>
      <w:r>
        <w:t>Bundesverwaltungsgericht, 2008-09-09, DE</w:t>
      </w:r>
    </w:p>
    <w:p>
      <w:r>
        <w:rPr>
          <w:b/>
        </w:rPr>
        <w:t xml:space="preserve">Quelle: </w:t>
      </w:r>
      <w:r>
        <w:t>https://mcp.opencaselaw.ch/entscheid/bvger_C-1649_2007</w:t>
      </w:r>
    </w:p>
    <w:p>
      <w:r>
        <w:t>FR: TAF C-1649/2007 du 9 septembre 2008</w:t>
      </w:r>
    </w:p>
    <w:p>
      <w:r>
        <w:t>IT: TAF C-1649/2007 del 9 settembre 2008</w:t>
      </w:r>
    </w:p>
    <w:p>
      <w:pPr>
        <w:pStyle w:val="Heading2"/>
      </w:pPr>
      <w:r>
        <w:t>Regeste</w:t>
      </w:r>
    </w:p>
    <w:p>
      <w:r>
        <w:t>Zustimmung zur Aufenthaltsbewilligung</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 gelten die in Art. 33 und Art. 34 VGG aufgeführten Behörden. Darunter fallen Verfügungen des Bundesamtes für Migration (BFM) betreffend der Zustimmung zur Erteilung bzw. Verlängerung der Aufenthaltsbewilligung sowie betreffend der Wegweisung. Anders verhält es sich mit der Ausreisreisefrist, die nicht zum Gegenstand einer Beschwerde an das Bundesverwaltungsgericht gemacht werden kann. Mit der Ausreisefrist wird der betroffenen Person im Sinne von Art. 41 Abs. 2 VwVG Gelegenheit zur freiwilligen Erfüllung ihrer Ausreiseverpflichtung eingeräumt, bevor polizeiliche Zwangsmassnahmen ergriffen werden. Sie entfaltet somit keine rechtsgestaltende Wirkung, sondern regelt einzig die Art und Weise des Vollzugs. Die Ansetzung einer Ausreisefrist gilt deshalb nicht als Verfügung im Sinne von Art. 5 VwVG (vgl. Urteil des Bundesverwaltungsgerichts C-1872/2007 vom 20. September 2007 E. 1.2 [mit Hinweisen]).</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zur Beschwerde legitimiert. Auf das form- und fristgerechte Rechtsmittel ist, soweit die Verweigerung der Zustimmung und die Wegweisung angefochten wird, einzutreten (Art. 48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Zulassung, Aufenthalt und Erwerbstätigkeit [VZAE, SR 142.201]), welche das Bundesgesetz vom 26. März 1931 über Aufenthalt und Niederlassung der Ausländer (ANAG, BS 1 121, zum vollständigen Quellennachweis vgl. Ziff. I des Anhangs zum AuG) abgelöst haben. Ebenso wurde gemäss Art. 91 Ziff. 2 VZAE die Verordnung vom 20. April 1983 über das Zustimmungsverfahren im Ausländerrecht (AS 1983 535, nachfolgend: Zustimmungsverordnung) aufgehoben, unter deren Geltung die angefochtene Verfügung ergangen war. Gemäss Art. 126 Abs. 1 AuG bleibt jedoch auf Gesuche, die wie vorliegend vor dem Inkrafttreten des AuG eingereicht wurden, materiellrechtlich das damals geltende Recht anwendbar (vgl. Urteil des Bundesverwaltungsgerichts C-533/2006 vom 19. Mai 2008 E. 1.5).</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Massgebend ist grundsätzlich die Sachlage zum Zeitpunkt des Entscheides (vgl. Urteile des Bundesverwaltungsgerichts C-389/2006 vom 4. Juni 2007 E. 2, C-81/2006 vom 13. März 2007 E. 3 [mit Hinweisen]).</w:t>
      </w:r>
    </w:p>
    <w:p>
      <w:r>
        <w:rPr>
          <w:b/>
        </w:rPr>
        <w:t>E. 4</w:t>
      </w:r>
    </w:p>
    <w:p>
      <w:r>
        <w:t>Mit Eingabe vom 25. Januar 2007 führte der Beschwerdeführer als Beweisofferte hinsichtlich der Eheschliessung und der Trennung, B._______ als Zeugin an (vgl. S. 2). Die Ex-Ehegattin wurde jedoch von der Vorinstanz nicht einvernommen. Gemäss Art. 14 Abs. 1 VwVG ist die Zeugeneinvernahme nur unter der einschränkenden Voraussetzung vorgesehen, dass sich der Sachverhalt nicht auf andere Weise hinreichend abklären lässt. Die Einvernahme von Zeuginnen und Zeugen bildet daher im Verwaltungsverfahren die Ausnahme (vgl. BGE 130 II 169 E. 2.3.3 und 2.3.4 S. 173). Zwar ergibt sich aus dem Anspruch auf rechtliches Gehör (Art. 29 Abs. 2 der Bundesverfassung der Schweizerischen Eidgenossenschaft vom 18. April 1999 [BV, SR 101]) die Pflicht der Behörde, die Argumente und Verfahrensanträge der Partei entgegenzunehmen und zu prüfen sowie die von ihr rechtzeitig und formrichtig angebotenen Beweismittel abzunehmen (vgl. BGE 126 I 15 E. 2a/aa S.16, Urteil des Bundesgerichts 1C_231/2007 vom 14. November 2007 E. 2.2 [mit Hinweisen]). Beweise sind im Rahmen des verfassungsmässigen Anspruchs auf rechtliches Gehör indessen nur über jene Tatsachen abzunehmen, die für die Entscheidung der Streitsache erheblich sind (BGE 122 V 157 E. 1d S. 162). Von einem beantragten Beweismittel kann abgesehen werden, wenn der Sachverhalt den die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Alfred Kölz/Isabelle Häner, Verwaltungsverfahren und Verwaltungsrechtspflege des Bundes, 2. Aufl., Zürich 1998, Rz. 320; BGE 122 V 157 E. 1d S. 162 [mit Hinweisen]).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II 169 nicht publizierte E. 2.1, ferner 127 I 54 E. 2b S. 56, BGE 122 V 157 E. 1d S. 162, BGE 119 V 335 E. 2c S. 344; Urteil des Bundesverwaltungsgerichts C-1170/2006 vom 3. August 2007 E. 3). Vorliegend wurde die Ex-Ehegattin bereits durch die kantonalen Behörden telefonisch zu den Umständen der Heirat bzw. der Trennung angehört (vgl. Aktennotiz des Bereichs Bevölkerungsdienste und Migration vom 25. Oktober 2006). Eine Auskunft der Ex-Ehegattin lag der Vorinstanz somit bereits vor. Dass die Einvernahme als Zeugin neue Erkenntnisse hätte vermitteln können, ist indessen nicht ersichtlich und geht ebenso wenig aus der schriftlichen Stellungnahme der Ex-Ehegattin vom 23. Februar 2007 hervor, welche im Wesentlichen wiedergibt, was der Beschwerdeführer selbst zu den Umständen der Heirat, zum Zeitpunkt der Trennung und der Absicht zur Wiederaufnahme der ehelichen Gemeinschaft im vorinstanzlichen Verfahren geltend machte und später auf Beschwerdeebene vorbringt. Die Vorinstanz konnte somit von der beantragten Zeugeneinvernahme absehen, zu welcher sie ohnehin keine direkte Befugnis gehabt hätte (vgl. Art. 14 Abs. 1 Bst. a und b VwVG). Anzufügen bleibt, dass selbst unter der Annahme, die Vorinstanz hätte nicht auf die besagte telefonische Auskunft der Ex-Ehegattin abstellen dürfen, eine allfällige Gehörsverletzung mit der vorliegenden Beurteilung als geheilt zu erachten wäre, verfügt das Bundesverwaltungsgericht über volle Kognition (vgl. Art. 49 VwVG) und hat die Ex-Ehegattin mit ihrer Schreiben vom 23. Februar 2007 schriftlich zur ehelichen Gemeinschaft und den Gründen der Trennung Stellung genommen und ihren Standpunkt dargelegt. Wie aufzuzeigen sein wird, ist der Sachverhalt aufgrund der Akten hinreichend erstellt, weshalb es der Einvernahme als Zeugin nicht bedarf.</w:t>
      </w:r>
    </w:p>
    <w:p>
      <w:r>
        <w:rPr>
          <w:b/>
        </w:rPr>
        <w:t>E. 5</w:t>
      </w:r>
    </w:p>
    <w:p>
      <w:r>
        <w:t>Grundsätzlich sind die Kantone für die Erteilung und Verlängerung von Aufenthalts- und Niederlassungbewilligungen zuständig (Art. 15 Abs. 1 und Abs. 2 ANAG). Vorbehalten bleibt die Zustimmung des BFM zu bewilligungsgewährenden Entscheiden, wenn das Ausländerrecht eine solche für notwendig erklärt (vgl. Art. 18 ANAG). So bedarf es unter anderem der Zustimmung des BFM, wenn bestimmte Gruppen von Ausländerinnen und Ausländern im Interesse der Koordination der Praxis der Zustimmungspflicht unterstellt werden (vgl. Art. 1 Abs. 1 Bst. a Zustimmungsverordnung). Dies gilt unter anderem für die Verlängerung der Aufenthaltsbewilligung einer Ausländerin oder eines Ausländers nach Auflösung der ehelichen Gemeinschaft mit einem schweizerischen Ehegatten oder nach dessen Tod, falls die Ausländerin bzw. der Ausländer nicht aus einem Mitgliedstaat der EFTA oder der EG stammt (vgl. Urteil des Bundesverwaltungsgerichts C-1872/2007 vom 20. September 2007 E. 3.2; Weisung und Erläuterung des BFM über Einreise, Aufenthalt und Arbeitsmarkt, 3. Aufl., Bern 2006, Ziff. 132.4 Bst. e). Infolge der Scheidung von seiner Schweizer Ex-Ehegattin bedarf es demnach zur Verlängerung der Aufenthaltsbewilligung des Beschwerdeführers der Zustimmung des BFM. Dabei ist das BFM nicht an die kantonale Beurteilung gebunden, selbst wenn auf kantonaler Ebene ein Gericht auf Erteilung oder Verlängerung der Aufenthaltsbewilligung erkannt hat (vgl. BGE 127 II 49 E. 3 S. 51 ff.; Urteile des Bundesverwaltungsgerichts C-7331/2007 vom 9. Mai 2008 E. 3.1, C-4302/2007 vom 20. Dezember 2007 E. 3.1).</w:t>
      </w:r>
    </w:p>
    <w:p>
      <w:r>
        <w:rPr>
          <w:b/>
        </w:rPr>
        <w:t>E. 6.1</w:t>
      </w:r>
    </w:p>
    <w:p>
      <w:r>
        <w:t>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die ausländische Person oder ihre in der Schweiz lebenden Angehörigen könnten sich auf eine Sondernorm des Bundesrechts oder eines Staatsvertrags berufen (vgl. BGE 131 II 339 E. 1 S. 342 f.).</w:t>
      </w:r>
    </w:p>
    <w:p>
      <w:r>
        <w:rPr>
          <w:b/>
        </w:rPr>
        <w:t>E. 6.2</w:t>
      </w:r>
    </w:p>
    <w:p>
      <w:r>
        <w:t>Der Beschwerdeführer ist heute von seiner Schweizer Ehefrau geschieden, weshalb er keinen Anspruch mehr auf eine Aufenthaltsbewilligung nach Art. 7 Abs. 1 erster Satz ANAG hat. Sollte er aber vor der Scheidung einen Anspruch auf Niederlassungsbewilligung gemäss Art. 7 Abs. 1 zweiter Satz ANAG erworben haben, so kann er sich hierauf auch nach Beendigung der Ehe berufen (BGE 128 ll 145 E. 1.1.4 und 1.1.5 S. 149 f. [mit Hinweisen]). Der Rechtsvertreter hat sich zwar bislang darauf beschränkt, für seinen Mandanten die Verlängerung der Aufenthaltsbewilligung bzw. vorliegend die Zustimmung zu einer solchen Bewilligung zu beantragen. Falls ein Anspruch auf Niederlassungsbewilligung bestünde, was es als Rechtsfrage von Amtes wegen zu berücksichtigen gilt (BGE 128 ll 145 E. 1.1.4 S. 149), könnte dem Betroffenen die ein weniger gefestigtes Anwesenheitsrecht vermittelnde Aufenthaltsbewilligung indessen erst recht nicht verweigert werden.</w:t>
      </w:r>
    </w:p>
    <w:p>
      <w:r>
        <w:rPr>
          <w:b/>
        </w:rPr>
        <w:t>E. 6.3</w:t>
      </w:r>
    </w:p>
    <w:p>
      <w:r>
        <w:t>Weil sich der Beschwerdeführer ab Mitte August 2005 fünf Jahre in der Schweiz aufhielt und während dieser Zeit mit einer Schweizer Bürgerin verheiratet war, hätte er grundsätzlich einen Anspruch auf Erteilung der Niederlassungsbewilligung (Art. 7 Abs. 1 zweiter Satz ANAG). Nach Art. 7 Abs. 2 ANAG besteht allerdings kein solcher Anspruch, wenn die Ehe eingegangen worden ist, um die Vorschriften über Aufenthalt und Niederlassung von Ausländern und namentlich jene über die Begrenzung der Zahl der Ausländer zu umgehen. Erfasst wird von dieser Bestimmung die sog. Scheinehe bzw. Ausländerrechtsehe, bei der die Ehegatten von vornherein keine echte eheliche Gemeinschaft beabsichtigen. Auch wenn die Ehe nicht bloss zum Schein eingegangen worden ist, bedeutet dies jedoch keineswegs, dass dem ausländischen Ehepartner der Aufenthalt ungeachtet der weiteren Entwicklung gestattet werden muss. Zu prüfen ist diesfalls, ob sich die Berufung auf die Ehe nicht anderweitig als rechtsmissbräuchlich erweist. Rechtsmissbrauch liegt beispielsweise vor, wenn der Ausländer sich auf eine Ehe beruft, welche nur noch formell Bestand hat oder einzig mit dem Ziel aufrecht erhalten wird, der ausländischen Person hierzulande ein Anwesenheitsrecht zu ermöglichen. Dieses Ziel wird von Art. 7 ANAG nicht geschützt (BGE 130 ll 113 E. 4.2 S. 117, BGE 128 ll 145 E. 2.2 S. 151 f., BGE 127 ll 49 E. 4a S. 55 u. E. 5a S. 56 f.).</w:t>
      </w:r>
    </w:p>
    <w:p>
      <w:r>
        <w:rPr>
          <w:b/>
        </w:rPr>
        <w:t>E. 6.4</w:t>
      </w:r>
    </w:p>
    <w:p>
      <w:r>
        <w:t>Gemäss den Angaben des Beschwerdeführers sowie den Ausführungen seiner Schweizer Ex-Ehegattin hat sich das Ehepaar im Sommer 1999 in Slowenien kennen gelernt. Anschliessend soll sich B._______ auch während drei Wochen im März 2000 bei der Familie des Beschwerdeführers im Kosovo aufgehalten haben, bevor am 2. Mai 2000 die Heirat erfolgte. Die Ehe des Beschwerdeführers dauerte formell fast 6 Jahre, wovon der Beschwerdeführer 5 Jahre und 7 Monate in der Schweiz verbrachte, bis die Ehe am 20. März 2006 vom Zivilgericht Basel-Stadt geschieden wurde. Zwar bringt der Beschwerdeführer zu Recht vor, es liesse sich angesichts der Umstände der Eheschliessung nicht folgern, die Ehe sei nur zum Schein eingegangen worden. Wie aus der Stellungnahme von B._______ vom 23. Februar 2007 hervorgeht, erfolgte jedoch bereits im Januar 2002 nach vergleichsweise kurzer Dauer der ehelichen Gemeinschaft die Trennung der Ehegatten. Der Grund seien unterschiedliche Vorstellungen über die Beziehung gewesen. Der gemeinsame Haushalt wurde anschliessend im März 2002 aufgegeben. Faktisch dauerte die eheliche Gemeinschaft damit weniger als zwei Jahre. Auch wenn sich der Beschwerdeführer auf eine mündlich getroffene Vereinbarung mit seiner Schweizer Ex-Ehefrau beruft, wonach die Ehegatten erst nach dem Abschluss der Ausbildung der Ex-Ehefrau im Sommer 2005 über die Weiterführung der Ehe hätten entscheiden wollen, bestehen doch konkrete Hinweise zur Annahme, die Ehe sei bereits ab dem Zeitpunkt der Trennung oder jedenfalls klar vor Ablauf der Fünfjahresfrist im August 2005 als definitiv gescheitert zu betrachten. Offensichtlich führte der Beschwerdeführer, dessen aussereheliche Tochter am 10. Juni 2004 geboren wurde, bereits während der noch bestehenden Ehe mit seiner Schweizer Ex-Ehegattin eine Beziehung mit C._______, seiner späteren zweiten Ehefrau. Entgegen den Ausführungen des Beschwerdeführers stellt dies indessen durchaus den Bestand des Ehewillens zum damaligen Zeitpunkt in Frage (vgl. Urteil des Bundesgerichts 2A.431/2005 vom 14. November 2005 E. 2.2). Alleine die Tatsache, dass sich die Ehegatten nach der Geburt des ausserehelichen Kindes nicht unmittelbar scheiden liessen, weist indessen nicht darauf hin, der Ehewillen hätte weiterhin Bestand, zumal es abgesehen von der vorgebrachten Vereinbarung keine Anhaltspunkte dafür gibt, die Ehegatten hätten nach ihrer Trennung je Bestrebungen zur Wiederaufnahme der ehelichen Gemeinschaft unternommen. Kommt hinzu, dass auch die Schweizer Ex-Ehefrau vor Abschluss ihrer Ausbildung im Sommer 2005 einen neuen Partner kennen lernte, was der Grund gewesen sei, dass sie sich die Wiederaufnahme der ehelichen Gemeinschaft nicht mehr habe vorstellen können. Dies spricht indessen ebenfalls gegen die behauptete Bereitschaft zur Wiederaufnahme der ehelichen Gemeinschaft, die bis zum Sommer 2005 bestanden haben soll. Insoweit räumt der Beschwerdeführer auch ein, es habe bereits Monate vor Einreichung der Scheidung (im Herbst 2005) festgestanden, dass die Ehe gescheitert sei. Objektiv betrachtet lässt das Verhalten des Beschwerdeführers und seiner Schweizer Ex-Ehegattin, zusammen mit der mehrjährigen faktischen Trennung, keine Zweifel offen, dass bereits vor Ablauf der Fünfjahresfrist keine Aussicht auf Wiederaufnahme der Ehegemeinschaft mehr bestand. Der Beschwerdeführer kann sich bei dieser Sachlage nicht auf Art. 7 ANAG berufen.</w:t>
      </w:r>
    </w:p>
    <w:p>
      <w:r>
        <w:rPr>
          <w:b/>
        </w:rPr>
        <w:t>E. 6.5</w:t>
      </w:r>
    </w:p>
    <w:p>
      <w:r>
        <w:t>Daran vermag auch nichts zu ändern, dass die kantonalen Behörden weder bei der Verlängerung der Aufenthaltsbewilligung im Juli 2005 von einem rechtsmissbräuchlichen Verhalten ausgingen noch nachdem sie durch das Familiennachzugsgesuch im September 2006 von der zweiten Eheschliessung und der ausserehelichen Tochter Kenntnis erlangten. Wie unter Erwägung 5 ausgeführt, besteht keine Bindung an die Beurteilung der kantonalen Behörden (vgl. ferner Urteil des Bundesverwaltungsgerichts C-4302/2007 vom 20. Dezember 2007 E. 3.3). Diese erachteten gemäss ihrem Schreiben vom 6. Dezember 2006 als massgebliche Umstände, dass die aussereheliche Tochter des Beschwerdeführers erst über ein Jahr nach der Trennung von seiner Ex-Ehefrau geboren wurde und er mit seiner zweiten Ehefrau nicht bereits vor der Heirat mit der Schweizer Bürgerin verheiratet gewesen war. Die angeführten Gründe sprechen zwar dagegen, die Ehe mit B._______ sei zum Schein eingegangen worden, sie lassen jedoch nicht darauf schliessen, der Ehewille hätte bis zum Ablauf der Fünfjahresfrist im August 2005 bestanden. Die Rüge des Beschwerdeführers geht daher fehl.</w:t>
      </w:r>
    </w:p>
    <w:p>
      <w:r>
        <w:rPr>
          <w:b/>
        </w:rPr>
        <w:t>E. 6.6</w:t>
      </w:r>
    </w:p>
    <w:p>
      <w:r>
        <w:t>Als Anspruchsnormen in Betracht kommen daneben Art. 8 Abs. 1 der Konvention vom 4. November 1950 zum Schutze der Menschenrechte und Grundfreiheiten (EMRK, SR 0.101) sowie Art. 13 Abs. 1 BV, die beide das Recht auf Achtung des Privat- und Familienlebens gewährleisten. Ein Eingriff in den Schutzbereich des Familienlebens liegt jedoch im Falle des Beschwerdeführers nicht vor, da dieser Schutzbereich vor allem das Zusammenleben mit der Kernfamilie umfasst, die Ehefrau und die minderjährige Tochter des Beschwerdeführers halten sich jedoch im Kosovo auf. Es stellt sich höchstens die Frage, ob die Garantie auf Achtung des Privatlebens des Beschwerdeführers einen Aufenthaltsanspruch verschaffen könnte. Nach der bundesgerichtlichen Rechtsprechung kommt diesem Recht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 In der Lehre wird demgegenüber vorgeschlagen, nach einer zehnjährigen Anwesenheitsdauer in der Schweiz eine so starke Verbundenheit mit der Schweiz anzunehmen, dass diese dem Schutzbereich des Privatlebens zuzuordnen wäre (Martin Bertschi/Thomas Gächter, Der Anwesenheitsanspruch aufgrund der Garantie des Privat- und Familienlebens in: Schweizerisches Zentralblatt für Staats- und Verwaltungsrecht [ZBl] 2003 S. 225 ff., S. 262). Im Falle des Beschwerdeführers gelangt man jedoch nach beiden Rechtsauffassungen zum gleichen Ergebnis. Der Beschwerdeführer hielt sich bis zum Erlass der angefochtenen Verfügung am 30. Januar 2007 erst 6 Jahre und 4 Monate in der Schweiz auf. Der seither verstrichene Zeitraum, den der Beschwerdeführer aufgrund des laufenden Verfahrens in der Schweiz verbrachte, kann hingegen nicht berücksichtigt werden (vgl. Urteil des Bundesverwaltungsgerichts C-533/2006 vom 19. Mai 2008 E. 4.3.2). Weder erscheint daher die Aufenthaltsdauer hinreichend lange, um auf eine starke Verbundenheit schliessen zu können, noch bestehen aufgrund der Akten oder der Vorbringen Anhaltspunkte, die auf - über die normale Integration hinausgehende - besondere Bindungen zu Schweiz hinweisen würden.</w:t>
      </w:r>
    </w:p>
    <w:p>
      <w:r>
        <w:rPr>
          <w:b/>
        </w:rPr>
        <w:t>E. 6.7</w:t>
      </w:r>
    </w:p>
    <w:p>
      <w:r>
        <w:t>Zusammenfassend ergibt sich damit, dass der Beschwerdeführer weder aus dem geltenden Landesrecht noch aus staatsvertraglichen Bestimmungen einen Anspruch auf Verlängerung seiner Aufenthaltsbewilligung herleiten kann.</w:t>
      </w:r>
    </w:p>
    <w:p>
      <w:r>
        <w:rPr>
          <w:b/>
        </w:rPr>
        <w:t>E. 7.1</w:t>
      </w:r>
    </w:p>
    <w:p>
      <w:r>
        <w:t>Der Entscheid über die Zustimmung liegt demnach im pflichtgemässen Ermessen der Behörde. 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Ulrich Häfelin/Georg Müller/Felix Uhlmann, Allgemeines Verwaltungsrecht, 5. Aufl., Zürich und St. Gallen 2006, S.127 f.).</w:t>
      </w:r>
    </w:p>
    <w:p>
      <w:r>
        <w:rPr>
          <w:b/>
        </w:rPr>
        <w:t>E. 7.2</w:t>
      </w:r>
    </w:p>
    <w:p>
      <w:r>
        <w:t>Die Schweiz verfolgt zur Verwirklichung der in Art. 1 der Verordnung vom 6. Oktober 1986 über die Begrenzung der Zahl der Ausländer (BVO, AS 1986 1791) formulierten Ziele eine restriktive Einwanderungspolitik gegenüber erwerbstätigen ausländischen Personen aus dem Nicht-EU/EFTA-Raum (in der Folge: Drittstaatsangehörige).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Gemäss bundesverwaltungsgerichtlicher Rechtsprechung dient die Verlängerung der Aufenthaltsbewilligung nach Auflösung der Ehe deshalb in erster Linie der Vermeidung von Härtefällen (vgl. Urteile des Bundesverwaltungsgerichts C-567/2006 vom 22. Juli 2008 E. 7.1, C-4302/2007 vom 20. Dezember 2007 E. 4.1, C-563/2006 vom 28. November 2007 E. 5.1).</w:t>
      </w:r>
    </w:p>
    <w:p>
      <w:r>
        <w:rPr>
          <w:b/>
        </w:rPr>
        <w:t>E. 7.3</w:t>
      </w:r>
    </w:p>
    <w:p>
      <w:r>
        <w:t>Bei der Prüfung der Frage, ob die auf dem Spiele stehenden privaten Interessen eine Verlängerung der Aufenthaltsbewilligung rechtfertigen, ist zu prüfen,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unter anderem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auch ehespezifische Elemente, wie die Dauer der Ehe und die Umstände, die zu deren Auflösung geführt haben (Urteile des Bundesverwaltungsgerichts C-567/2006 vom 22. Juli 2008 E. 7.2, C-533/2006 vom 19. Mai 2008 E. 6.2., C-571/2006 vom 7. November 2007 E. 4.3).</w:t>
      </w:r>
    </w:p>
    <w:p>
      <w:r>
        <w:rPr>
          <w:b/>
        </w:rPr>
        <w:t>E. 7.4</w:t>
      </w:r>
    </w:p>
    <w:p>
      <w:r>
        <w:t>Der Beschwerdeführer hält sich seit August 2000 in der Schweiz auf und ist zurzeit als Rangiermitarbeiter bei X._______ tätig. Er verweist denn auch auf den Umstand, dass er während seiner ganzen Anwesenheit in der Schweiz erwerbstätig gewesen sei und keine finanzielle Unterstützung beansprucht habe. Zudem verfüge er über einen tadellosen Leumund und sei strafrechtlich nicht in Erscheinung getreten. Zwar erachten auch die kantonalen Behörden die Integration des Beschwerdeführers in beruflicher, wirtschaftlicher, sozialer und sprachlicher Hinsicht als gut. Dennoch lässt seine persönliche Situation nicht auf besonderes enge Beziehungen zur Schweiz schliessen, aufgrund derer eine Rückkehr des Beschwerdeführers in sein Heimatland nicht zuzumuten wäre. So kann trotz der guten beruflichen Integration diese nicht als überdurchschnittlich bezeichnet werden, zumal er mit seiner Tätigkeit als Rangiermitarbeiter nicht Qualifikation erworben hat, die ihm - als Folge einer überdurchschnittlichen Integration in der Schweiz - in seinem Heimatland nicht von Nutzen sein könnten. Was die persönlichen Beziehungen betrifft, blieb die Ehe mit der Schweizer Bürgerin kinderlos und das Zusammenleben dauerte nicht ganz zwei Jahre. Auch wenn der Beschwerdeführer immer noch in guten Kontakt mit seiner Schweizer Ex-Ehegattin steht und - wie die Vorinstanz ausführt - auch von einem Freundes- und Bekanntenkreis in der Schweiz auszugehen ist, begründet dies noch keine hinreichend enge persönliche Beziehung zur Schweiz. Weitere private Interessen werden indes nicht gelten gemacht und sind nicht ersichtlich. Demgegenüber hat der 30-jährige Beschwerdeführer den grössten Teil seines bisherigen Lebens in seinem Heimatland verbracht hat. Seine Ehefrau und die gemeinsame Tochter sowie weitere Verwandte leben dort. Es ist davon auszugehen, dass er über intakte persönliche Beziehungen verfügt und trotz der mehrjährigen Landesabwesenheit mit den Verhältnissen in seinem Heimatland weiterhin vertraut ist.</w:t>
      </w:r>
    </w:p>
    <w:p>
      <w:r>
        <w:rPr>
          <w:b/>
        </w:rPr>
        <w:t>E. 7.5</w:t>
      </w:r>
    </w:p>
    <w:p>
      <w:r>
        <w:t>Unter diesen Umständen hat das private Interesse des Beschwerdeführers an einer Verlängerung der Aufenthaltsbewilligung gegenüber dem öffentlichen Interesse an der Durchsetzung einer restriktiven Migrationspolitik gegenüber Personen aus dem Nicht-EU/EFTA-Raum zurückstehen. Die Verweigerung der Zustimmung durch die Vorinstanz ist insofern nicht zu beanstanden.</w:t>
      </w:r>
    </w:p>
    <w:p>
      <w:r>
        <w:rPr>
          <w:b/>
        </w:rPr>
        <w:t>E. 8</w:t>
      </w:r>
    </w:p>
    <w:p>
      <w:r>
        <w:t>Aus der Rechtmässigkeit der Zustimmungsverweigerung folgt die Wegweisung des Beschwerdeführers aus der Schweiz (vgl. Art. 12 Abs. 3 ANAG). Es bleibt daher zu prüfen, ob Hinderungsgründe für den Vollzug der Wegweisung anzunehmen sind (Art. 14a ANAG), so dass das zuständige Bundesamt gestützt auf Art. 14a Abs. 1 ANAG die vorläufige Aufnahme hätte verfügen müssen. Weder aus den Akten noch aus den Vorbringen in der Beschwerdeschrift ergeben sich Hinweise, die gegen die Zulässigkeit und Zumutbarkeit des Wegweisungsvollzugs in die Heimat des Beschwerdeführers sprächen: Dem Vollzug seiner Wegweisung stehen weder völkerrechtliche Verpflichtungen der Schweiz entgegen noch wird eine konkrete Gefährdung im Sinne von Art. 14a Abs. 4 ANAG behauptet. Der Beschwerdeführer ist insbesondere weder existenziell gesundheitlich gefährdet noch sonst von einer ernsthaften Krankheit betroffen, deren medizinische Behandlung im Heimatland nicht gewährleistet wäre. Schliesslich hat der Beschwerdeführer seine Kontakte zum Heimatland während seiner Anwesenheit in der Schweiz nie abgebrochen, weshalb, wie erwähnt, auch die Reintegration keine unüberwindbaren Probleme nach sich ziehen dürften. Der Wegweisungsvollzug ist überdies zweifellos auch möglich.</w:t>
      </w:r>
    </w:p>
    <w:p>
      <w:r>
        <w:rPr>
          <w:b/>
        </w:rPr>
        <w:t>E. 9.1</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9.2</w:t>
      </w:r>
    </w:p>
    <w:p>
      <w:r>
        <w:t>Bei diesem Verfahrensausgang sind die Kosten dem Beschwerdeführer aufzuerlegen (Art. 63 Abs. 1 VwVG i.V.m. Art. 2 ff. des Reglements vom 21. Februar 2008 über die Kosten und Entschädigungen vor dem Bundesverwaltungsgericht [VGKE, SR 173.320.2]). *******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