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C-1648/2020 vom 29. Juli 2022</w:t>
      </w:r>
    </w:p>
    <w:p>
      <w:r>
        <w:t>Bundesverwaltungsgericht, 2022-07-29, DE</w:t>
      </w:r>
    </w:p>
    <w:p>
      <w:r>
        <w:rPr>
          <w:b/>
        </w:rPr>
        <w:t xml:space="preserve">Quelle: </w:t>
      </w:r>
      <w:r>
        <w:t>https://mcp.opencaselaw.ch/entscheid/bvger_C-1648_2020</w:t>
      </w:r>
    </w:p>
    <w:p>
      <w:r>
        <w:t>FR: TAF C-1648/2020 du 29 juillet 2022</w:t>
      </w:r>
    </w:p>
    <w:p>
      <w:r>
        <w:t>IT: TAF C-1648/2020 del 29 luglio 2022</w:t>
      </w:r>
    </w:p>
    <w:p>
      <w:pPr>
        <w:pStyle w:val="Heading2"/>
      </w:pPr>
      <w:r>
        <w:t>Regeste</w:t>
      </w:r>
    </w:p>
    <w:p>
      <w:r>
        <w:t>Zuteilung zu den Prämientarifen</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11. März 2019, mit welchem die Suva die Ein- sprache der Beschwerdeführerin vom 14.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11.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w:t>
      </w:r>
    </w:p>
    <w:p>
      <w:r>
        <w:t>C-1648/2020 Seite 10 zudem die mit der Neueinreihung zusammenhängende Prämienerhöhung als nicht nachvollziehbar und unverhältnismässig rügt, hat sie auch die im Einspracheentscheid vom 11.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11.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w:t>
      </w:r>
    </w:p>
    <w:p>
      <w:r>
        <w:t>C-1648/2020 Seite 11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w:t>
      </w:r>
    </w:p>
    <w:p>
      <w:r>
        <w:t>C-1648/2020 Seite 12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w:t>
      </w:r>
    </w:p>
    <w:p>
      <w:r>
        <w:t>C-1648/2020 Seite 13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w:t>
      </w:r>
    </w:p>
    <w:p>
      <w:r>
        <w:t>C-1648/2020 Seite 14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7];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w:t>
      </w:r>
    </w:p>
    <w:p>
      <w:r>
        <w:t>C-1648/2020 Seite 15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w:t>
      </w:r>
    </w:p>
    <w:p>
      <w:r>
        <w:t>C-1648/2020 Seite 16 Rechtsprechung muss ein Verwaltungsakt so abgefasst sein, dass die Be- troffenen ihn gegebenenfalls sachgerecht anfechten können (BGE 125 II 369 E. 2c, 124 V 180 E. 1a).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19. Oktober 2018 über die Neueinreihung orientiert mit dem Hinweis, Be- triebe, welche diese Art der Tätigkeit ausübten, würden dieser Klasse zu- geteilt. Die Suva selbst habe bereits im Jahr 2018 in zwei die Mineralöl- branche betreffenden Verfahren vor dem Bundesverwaltungsgericht die In- 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 setzt sei. Die Prämienerhöhung um zwei Stufen sei mangels Verständlich- keit des Regelwerks weder nachvollziehbar noch begründet. 5.2.2 Die Vorinstanz entgegnet in ihrer Duplik vom 27. Juli 2020, dass die Rügen der Beschwerdeführerin nicht zuträfen und sie bereits mit Wieder- erwägung vom 30. Oktober 2018 dargelegt habe, dass der Grund für die Praxisänderung darin gelegen habe, dass Transporttätigkeiten ein wesent- lich grösseres Risiko darstellten als der Brenn- und Treibstoffhandel. Zu- dem sei anzumerken, dass sich der Anspruch auf rechtliches Gehör nur auf das Rechtsanwendungsverfahren und nicht auf das Verfahren zum Er- lass von generell-abstrakten Regeln beziehe. Die Begründungspflicht er- strecke sich somit auf die angefochtene Verfügung, nicht auf die Tarifrevi- sion. 5.3 5.3.1 Soweit die Beschwerdeführerin der Vorinstanz bezüglich ihres Vor- gehens betreffend die Neueinreihung Intransparenz vorwirft, kann ihr nicht</w:t>
      </w:r>
    </w:p>
    <w:p>
      <w:r>
        <w:t>C-1648/2020 Seite 17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 zur Zuteilung der Betriebe zu den Risikogemeinschaften und zu den be- sonderen Betriebsverhältnissen zu ändern. Diese Änderungen hatten für die Beschwerdeführerin bezüglich der Klassenzuteilung indes noch keine Auswirkungen, da damals einerseits die Betriebsbeschreibung vom 15. November 2010 (Suva-act. 31) die Grundlage für die Zuteilung bildete und andererseits die Tarifrevision der Klasse 52A, Unterklasse L0, noch nicht vollzogen wurde (vgl. Wiedererwägungsverfügung vom 30. Oktober 2018 [Suva-act. 95]). Allerdings wurde der Beschwerdeführerin – worauf die Vorinstanz zutreffend hinweist – nach erfolgter Aktualisierung der Be- triebsbeschreibung vom 4. Januar 2017 (vgl. Suva-act. 81) unter Bezug- nahme auf jene mit Vorbescheid vom 10. Januar 2017, auf welchen die Beschwerdeführerin im Übrigen in ihrer Beschwerdeschrift vom 11. April 2019 selbst hinweist (indessen fälschlicherweise als Einreihungsverfügung vom 4. Januar 2017 bezeichnet [vgl. Beschwerdedossier C-1757/2019, BVGer-act. 1 S. 3 zweiter Absatz]), angekündigt, dass die Beschwerdefüh- rerin aufgrund der in der Betriebsbeschreibung vom 4. Januar 2017 darge- legten Betriebsverhältnisse ab dem 1. Januar 2018 neu in die Klasse 49A (Strassentransporte), Unterklassenteil D0 (Strassentransport von Gütern) eingereiht werden würde (Suva-act. 83). Die Vorinstanz hat somit die be- absichtigte Neueinreihung in eine andere Klasse frühzeitig kommuniziert. Die Beschwerdeführerin hat sich jedoch zum damaligen Vorbescheid gar nicht vernehmen lassen. Ebenso wenig hat die Beschwerdeführerin rea- giert, als die Vorinstanz schliesslich mit Einreihungsverfügung vom 18. Au- gust 2017 gemäss Vorbescheid vom 11. Januar 2017 verfahren ist und die Beschwerdeführerin ankündigungsgemäss – allerdings voreilig (vgl. Be- gründung der Wiedererwägungsverfügung vom 30. Oktober 2018 [Suva- act. 95]) sowie E-Mail des Bereichsleiters der Suva vom 17. Juli 2018 [Be- schwerdedossier C-1757/2019, BVGer-act. 1 Beilage 3 S. 2 1. Absatz der Aufzählung resp. BVGer-act. 11 Beilage 1 S. 1 1. Absatz der Aufzäh- lung]) – in die Klasse 49A (Strassentransporte), Unterklassenteil D0 (Stras- sentransport von Gütern), eingereiht hat (vgl. Suva-act. 85). Die Beschwer- deführerin hatte somit bereits damals sowohl nach Erhalt des Vorbescheids vom 10. Januar 2017 als auch nach Erhalt der Einreihungsverfügung vom 18. August 2017 Gelegenheit erhalten, sich zur Neueinreihung zu äussern, was sie nachweislich und unbestritten nicht getan hat.</w:t>
      </w:r>
    </w:p>
    <w:p>
      <w:r>
        <w:t>C-1648/2020 Seite 18 5.3.2 Bezüglich des Vorwurfs der fehlenden Begründung ist im Weiteren festzuhalten, dass in der Verfügung vom 18. August 2017 (Suva-act. 85)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 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 porttätigkeiten nicht mehr unter dem Betriebsmerkmal Brenn- und Treib- stoffhandel aufgeführt würden und die entsprechenden Betriebsbeschrei- 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 führt worden und dabei der Strassentransport in die Klasse 49A ausgela- gert worden sei. Schliesslich hat sie ausgeführt, dass die entsprechende Tarifrevision der Klasse 52A erst per 1. Januar 2019 in Kraft treten werde, weshalb die mit Einreihungsverfügung vom 18. August 2017 vorgenom- mene Neueinreihung voreilig erfolgt sei; folglich werde die Verfügung vom 18. August 2017 in Wiedererwägung gezogen sowie für das Jahr 2018 auf die Zuteilung zur Klasse 49A verzichtet (Suva-act. 95). Ebenso wenig lässt sich aufgrund der E-Mail-Korrespondenz vom 16., 17. und 21. Juli 2018 zwischen dem Rechtsvertreter der Beschwerdeführerin und dem zuständi- 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C-1757/2019, BVGer-act. 1 Beilage 3 S. 2, 1. Absatz der Aufzählung resp. BVGer-act. 11 Beilage 1 S. 1, 1. Absatz der Aufzählung). Schliesslich kann der Vorinstanz auch in Bezug auf den vorliegend angefochtenen Einspracheentscheid vom 11. März 2019 nicht eine mangelnde Begründung vorgeworfen wer- den, enthält der Entscheid doch entgegen der Behauptung der Beschwer- deführerin Erläuterungen zur Klassenstruktur, Klassenzuteilung, den be-</w:t>
      </w:r>
    </w:p>
    <w:p>
      <w:r>
        <w:t>C-1648/2020 Seite 19 sonderen Betriebsverhältnissen sowie insbesondere zum vorliegend an- wendbaren Prämienmodell und der Berechnung des Bonus/Malus (vgl. Suva-act. 103). Bezüglich des Vorwurfs der fehlenden Nachvollziehbarkeit legt die Beschwerdeführerin denn auch nicht substanziiert dar, inwiefern es dem Einspracheentscheid – insbesondere auch in Bezug auf die Prämien- bemessung – an einer nachvollziehbaren Begründung mangelt, sondern rügt lediglich, dass die Ausführungen der Vorinstanz auf Seite 6 in den Ab- sätzen 2 und 3 der Vernehmlassung vom 7. Mai 2020 nicht nachvollzogen werden könnten. Damit rügt die Beschwerdeführerin effektiv nicht eine un- zureichende Begründung des angefochtenen Einspracheentscheids, son- dern eine unzureichende Begründung im Rahmen der Vernehmlassung. Die Frage, ob und wie ausführlich sich die Vorinstanz im vorliegenden Be- 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 ellen Beurteilung zu prüfen (vgl. hierzu E. 8 hiernach). 5.3.3 Aufgrund des insgesamt Ausgeführten ist keine Verletzung des recht- lichen Gehörs (respektive der Begründungspflicht) auszumachen. Darüber hinaus hat sich die Vorinstanz in ihrer Vernehmlassung und Duplik auch zu den von der Beschwerdeführerin im vorliegenden Beschwerdeverfahren vorgebrachten Rügen geäussert.</w:t>
      </w:r>
    </w:p>
    <w:p>
      <w:r>
        <w:rPr>
          <w:b/>
        </w:rPr>
        <w:t>E. 2</w:t>
      </w:r>
    </w:p>
    <w:p>
      <w:r>
        <w:t>Anfechtungsobjekt und damit Begrenzung des Streitgegenstands des vorliegenden Beschwerdeverfahrens (vgl. BGE 131 V 164 E. 2.1) bildet der Einspracheentscheid vom 11. März 2019, mit welchem die Suva die Einsprache der Beschwerdeführerin vom 14.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11.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11.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11.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7];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19. Oktober 2018 über die Neueinreihung orientiert mit dem Hinweis, Betriebe, welche diese Art der Tätigkeit ausübten, würden dieser Klasse zugeteilt. Die Suva selbst habe bereits im Jahr 2018 in zwei die Mineralölbranche betreffenden Verfahren vor dem Bundesverwaltungsgericht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w:t>
      </w:r>
    </w:p>
    <w:p>
      <w:r>
        <w:rPr>
          <w:b/>
        </w:rPr>
        <w:t>E. 5.2.2</w:t>
      </w:r>
    </w:p>
    <w:p>
      <w:r>
        <w:t>Die Vorinstanz entgegnet in ihrer Duplik vom 27. Juli 2020, dass die Rügen der Beschwerdeführerin nicht zuträfen und sie bereits mit Wiedererwägung vom 30. Oktober 2018 dargelegt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15. November 2010 (Suva-act. 31) die Grundlage für die Zuteilung bildete und andererseits die Tarifrevision der Klasse 52A, Unterklasse L0, noch nicht vollzogen wurde (vgl. Wiedererwägungsverfügung vom 30. Oktober 2018 [Suva-act. 95]). Allerdings wurde der Beschwerdeführerin - worauf die Vorinstanz zutreffend hinweist - nach erfolgter Aktualisierung der Betriebsbeschreibung vom 4. Januar 2017 (vgl. Suva-act. 81) unter Bezugnahme auf jene mit Vorbescheid vom 10. Januar 2017, auf welchen die Beschwerdeführerin im Übrigen in ihrer Beschwerdeschrift vom 11. April 2019 selbst hinweist (indessen fälschlicherweise als Einreihungsverfügung vom 4. Januar 2017 bezeichnet [vgl. Beschwerdedossier C-1757/2019, BVGer-act. 1 S. 3 zweiter Absatz]), angekündigt, dass die Beschwerdeführerin aufgrund der in der Betriebsbeschreibung vom 4. Januar 2017 dargelegten Betriebsverhältnisse ab dem 1. Januar 2018 neu in die Klasse 49A (Strassentransporte), Unterklassenteil D0 (Strassentransport von Gütern) eingereiht werden würde (Suva-act. 83).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11. Januar 2017 verfahren ist und die Beschwerdeführerin ankündigungsgemäss - allerdings voreilig (vgl. Begründung der Wiedererwägungsverfügung vom 30. Oktober 2018 [Suva-act. 95]) sowie E-Mail des Bereichsleiters der Suva vom 17. Juli 2018 [Beschwerdedossier C-1757/2019, BVGer-act. 1 Beilage 3 S. 2 1. Absatz der Aufzählung resp. BVGer-act. 11 Beilage 1 S. 1 1. Absatz der Aufzählung]) - in die Klasse 49A (Strassentransporte), Unterklassenteil D0 (Strassentransport von Gütern), eingereiht hat (vgl. Suva-act. 85). Die Beschwerdeführerin hatte somit bereits damals sowohl nach Erhalt des Vorbescheids vom 10. Januar 2017 als auch nach Erhalt der Einreihungsverfügung vom 18. August 2017 Gelegenheit erhalten, sich zur Neueinreihung zu äussern, was sie nachweislich und unbestritten nicht getan hat.</w:t>
      </w:r>
    </w:p>
    <w:p>
      <w:r>
        <w:rPr>
          <w:b/>
        </w:rPr>
        <w:t>E. 5.3.2</w:t>
      </w:r>
    </w:p>
    <w:p>
      <w:r>
        <w:t>Bezüglich des Vorwurfs der fehlenden Begründung ist im Weiteren festzuhalten, dass in der Verfügung vom 18. August 2017 (Suva-act. 85)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95).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C-1757/2019, BVGer-act. 1 Beilage 3 S. 2, 1. Absatz der Aufzählung resp. BVGer-act. 11 Beilage 1 S. 1, 1. Absatz der Aufzählung). Schliesslich kann der Vorinstanz auch in Bezug auf den vorliegend angefochtenen Einspracheentscheid vom 11.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103).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w:t>
      </w:r>
    </w:p>
    <w:p>
      <w:r>
        <w:t>C-1648/2020 Seite 20 abgesehen von den administrativen Tätigkeiten (Art. 18 Abs. 1 letzter Teil- satz des Prämientarifs) – mit 36 %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71 S. 4], welche jedoch noch keine Auswirkungen auf die Klas- senzuteilung der Beschwerdeführerin hatte, da die Revision der Klasse 52A erst am 1. Januar 2019 in Kraft getreten ist [vgl. Wiedererwägungsver- fügung vom 30. Oktober 2018, Suva-act. 95])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w:t>
      </w:r>
    </w:p>
    <w:p>
      <w:r>
        <w:t>C-1648/2020 Seite 21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 und den Betrieb der Beschwerdeführerin zu Recht in die Klasse 49A (Stras-</w:t>
      </w:r>
    </w:p>
    <w:p>
      <w:r>
        <w:t>C-1648/2020 Seite 22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w:t>
      </w:r>
    </w:p>
    <w:p>
      <w:r>
        <w:t>C-1648/2020 Seite 23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w:t>
      </w:r>
    </w:p>
    <w:p>
      <w:r>
        <w:rPr>
          <w:b/>
        </w:rPr>
        <w:t>E. 7</w:t>
      </w:r>
    </w:p>
    <w:p>
      <w:r>
        <w:t>Mai 2020 (vgl. BVGer-act. 7 S. 4 5. Absatz) – zu übersehen, dass ge-</w:t>
      </w:r>
    </w:p>
    <w:p>
      <w:r>
        <w:t>C-1648/2020 Seite 24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bei welchem es sich ohnehin nicht um das eigene, sondern um dasjenige der Firma B._______ AG handelt, keine Tätigkeiten ersicht- lich sind, welche der Definition der Klasse 49A nicht entsprechen würden. Anders als es die Beschwerdeführerin jedoch offensichtlich darzustellen versucht, ist auch das Be- und Entladen mit gewissen Risiken für die Tank- lastwagenfahrer verbunden. Auf diesen Umstand weist die Vorinstanz mit ergänzenden Ausführungen in ihrer Duplik vom 27. Juli 2020 zu Recht hin. Entgegen der Ansicht der Beschwerdeführerin verstrickt sich die Vor- instanz dabei nicht in einen unlösbaren Widerspruch, auch wenn die von ihr gewählte Formulierung mit dem Ausdruck «vor allem» tatsächlich etwas unglücklich ist, da sie den Eindruck erwecken könnte, das Be- und Entla- 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 rung der Güter, sondern auch die Lade- und Umschlagstätigkeiten der Chauffeure mit typischen Risiken verbunden sind, welche die Prämienbe- messung massgeblich beeinflussen. Dies zeigt insbesondere der Vergleich mit dem Personentransport, bei welchem sich die Tätigkeit der Chauffeure</w:t>
      </w:r>
    </w:p>
    <w:p>
      <w:r>
        <w:t>C-1648/2020 Seite 25 im Wesentlichen auf die eigentliche Beförderung (von Personen) be- schränkt (vgl. den Beschrieb der Unterklassen F0 und G0, BVGer-act. 7 Beilage C). Das heisst, deren Tätigkeit beinhaltet keine weiteren, mit zu- sätzlichen Unfallrisiken verbundenen Arbeiten, wie z.B. die Lade- und Um- schlagsarbeiten im Bereich des Gütertransports, weshalb die Basissätze des Personentransports im Prämientarif auch wesentlich tiefer sind als jene des Gütertransports (Stufe 70 bzw. Stufe 85 vs. Stufe 101 [vgl. die Ausfüh- rungen der Vorinstanz in ihrer Duplik vom 27. Juli 2020 [BVGer-act. 13 S. 2 letzter Absatz]).</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7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 mal den höchsten Lohnsummenanteil im Betrieb aufweist (vgl. Art. 18 Abs. 1 und 2 des Prämientarifs). In casu hat die Beschwerdeführerin je- doch in der Betriebsbeschreibung vom 4. Januar 2017 den Anteil an den branchenüblichen Handelstätigkeiten mit 0 % angegeben, während der An- teil der Tätigkeit betreffend Strassentransport von Gütern 36 % beträgt (vgl. Suva-act. 81 S. 2). An diesem Ergebnis ändert in versicherungsmässiger Hinsicht auch der Hinweis der Beschwerdeführerin nichts, wonach sie als</w:t>
      </w:r>
    </w:p>
    <w:p>
      <w:r>
        <w:t>C-1648/2020 Seite 26 Importeurin der Pflichtlagerhaltung unterworfen sei. Entscheidend sind vielmehr die Tätigkeiten der versicherten Lohnsumme, worauf die Vor- instanz zutreffend hinweist.</w:t>
      </w:r>
    </w:p>
    <w:p>
      <w:r>
        <w:rPr>
          <w:b/>
        </w:rPr>
        <w:t>E. 7.1.3</w:t>
      </w:r>
    </w:p>
    <w:p>
      <w:r>
        <w:t>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81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 schwerdeführerin eine Ungleichbehandlung der Betriebe des Brenn- und</w:t>
      </w:r>
    </w:p>
    <w:p>
      <w:r>
        <w:t>C-1648/2020 Seite 27 Treibstoffhandels gegenüber Betrieben aus anderen Handelsbranchen er- kennen will, entgegen der impliziten Behauptung nicht um ein auf Handels- betriebe (vorliegend der Baumaterial- oder Metallbranche) zugeschnitte- nes Formular. Aus der Umschreibung der branchenüblichen sowie bran- chennahen Tätigkeiten geht eindeutig hervor, dass das Formular offen- sichtlich auf Betriebe zugeschnitten ist, welche schwerpunktmässig Plat- tenleger-, Hafner- oder Innenisolationsarbeiten durchführen; die in diesem Formular erwähnten «branchenüblichen Tätigkeiten» entsprechen eindeu- tig den in der Klassenumschreibung der Risikogemeinschaft 45M (Platten- leger, Hafner und Innenisolationen) aufgeführten Tätigkeiten (vgl. die ent- sprechende Klassenumschreibung, abrufbar unter www.suva.ch/de- ch/versicherung/loehne-und-praemien/praemien, zuletzt besucht am 27.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die Beschwerdeführerin – wie bereits festgestellt (E. 7.1.2 hiervor) – keine Tätigkeiten (mehr) aus- übt, welche aus versicherungstechnischer Sicht gemäss den ab 1. Januar 2019 geltenden Regeln den branchenüblichen Arbeiten zuzuschreiben wä-</w:t>
      </w:r>
    </w:p>
    <w:p>
      <w:r>
        <w:t>C-1648/2020 Seite 28 ren. In diesem Zusammenhang ist überdies darauf hinzuweisen, dass be- reits vor der Tarifrevision der Klasse 52A im Formular für Handelsunterneh- 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 weiligen Umschreibungen der einzelnen Unterklassen in der Betriebsbe- schreibung vom 15. November 2010 [Suva-act. 31 S. 2]). Darauf weist auch die Vorinstanz im Rahmen ihrer Duplik vom 27. Juli 2020 ausdrücklich hin (vgl. BVGer-act. 13 S. 3 zweiter Absatz). Das heisst, Firmen aus ande- 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 fluss auf die Ermittlung der Höhe der Lohnanteile eines Betriebes hat und somit auch entsprechend Einfluss auf dessen Zuteilung zu den Risikoge- meinschaften (Art. 18 Abs. 1 und 2 des Prämientarifs) haben kann. Das heisst, bis Ende 2018 wurde bei Handelsunternehmen der Mineralölbran- 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 zeughandel), 52A K0 (Baumaterial-, Holzwerkstoffhandel) und 52A L0 (Brenn-, Treibstoffhandel) zum Unterklassenteil 52A K0 (Baumaterial-, Me- tall- und Treibstoffhandel) zusammengefasst. Würden die Transporttätig- keiten bei Betrieben des Brenn- und Treibstoffhandels wie bis anhin sepa- 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 che. Um eine Gleichbehandlung aller Betriebe innerhalb des neuen Unter- klassenteils wie auch innerhalb der Klasse zu gewährleisten, muss somit auch bei Handelsunternehmen der Mineralölbranche der Strassentrans- port separat erfasst werden.</w:t>
      </w:r>
    </w:p>
    <w:p>
      <w:r>
        <w:rPr>
          <w:b/>
        </w:rPr>
        <w:t>E. 7.3</w:t>
      </w:r>
    </w:p>
    <w:p>
      <w:r>
        <w:t>Schliesslich zielt auch die implizite Berufung auf den Vertrauensschutz von Anfang an ins Leere. Wie bereits ausgeführt (vgl. E. 5.3.2 hiervor), hat</w:t>
      </w:r>
    </w:p>
    <w:p>
      <w:r>
        <w:t>C-1648/2020 Seite 29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C-1757/2019, BVGer-act. 1 Beilage 3 S. 2, 1. Absatz der Aufzählung resp. BVGer-act. 11 Beilage 1 S. 1, 1. Absatz der Aufzählung). Diese unmissverständliche Auskunft scheint der Rechtsvertreter überse- hen zu haben (vgl. letzten Absatz seiner Antwort vom 21. Juli 2018 auf die E-Mail der Vorinstanz vom 17. Juli 2018 [Beschwerdedossier C-1757/2019,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 gegenüber dem Bundesverwaltungsgericht in den beiden von der Be- schwerdeführerin genannten Beschwerdeverfahren getätigte Aussage, die betroffenen Betriebe nach den «dannzumal geltenden Einreihungsregeln und der Klassenstruktur» einzureihen, nichts am Ergebnis. Entgegen der von der Beschwerdeführerin offenbar vertretenen Ansicht bedeutet «dann- zumal» gemäss Duden «dann, in jenem Augenblick» (wobei es sich hierbei um einen schweizerischen Ausdruck handelt, vgl. www.duden.de). Das</w:t>
      </w:r>
    </w:p>
    <w:p>
      <w:r>
        <w:t>C-1648/2020 Seite 30 heisst, die Vorinstanz hat mit jener Formulierung nichts Anderes zum Aus- druck gebracht, als dass sie für die Prämieneinreihung im Jahr 2019 die ab 1. Januar 2019 geltenden, neuen Regeln anwenden werde. Dass die ver- fügte Einreihung dabei bereits im September 2018 (recte: am 19. Oktober 2018) erfolgte, ist dem Umstand geschuldet, dass die Versicherer die Er- höhungen des Nettoprämiensatzes den versicherten Betrieben von Geset- zes wegen mindestens zwei Monate vor Ende des laufenden Rechnungs- 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11. April 2019 [Beschwerdedossier C-1757/2019,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 Demzufolge wurde die Beschwerdeführerin – entgegen ihrer Behaup- tung – nicht nach undifferenzierten Kriterien eingereiht.</w:t>
      </w:r>
    </w:p>
    <w:p>
      <w:r>
        <w:t>C-1648/2020 Seite 31</w:t>
      </w:r>
    </w:p>
    <w:p>
      <w:r>
        <w:rPr>
          <w:b/>
        </w:rPr>
        <w:t>E. 7.5</w:t>
      </w:r>
    </w:p>
    <w:p>
      <w:r>
        <w:t>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t>C-1648/2020 Seite 32</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w:t>
      </w:r>
    </w:p>
    <w:p>
      <w:r>
        <w:rPr>
          <w:b/>
        </w:rPr>
        <w:t>E. 8.1</w:t>
      </w:r>
    </w:p>
    <w:p>
      <w:r>
        <w:t>Wie bereits dargelegt, hat die Suva beim Betrieb der Beschwerdefüh- rerin den Strassentransport (mit 36 %)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11.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64 % Administration den entsprechenden Schwellwert (von 30 %) überschreitet. Soweit sind die Ausführungen der Vorinstanz im Einspracheentscheid nicht zu beanstanden. Anzufügen bleibt, dass der im Anhang für gewerbliche Tätigkeiten vorgesehene Schwellwert von 15 % vorliegend unbeachtlich ist, da die Beschwerdefüh- rerin in casu über keine weiteren besonderen (gewerblichen) Betriebs- merkmale verfügt.</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gerundet 48,6 % (der von der Beschwerdeführerin betriebene Büroanteil von 64 % überschreitet zu 34 % den entsprechenden Schwellwert von 30 %; dies ergibt folgende Berechnung: 34 % x 100 / [100 - 30 %] = 48,57 %) angegeben.</w:t>
      </w:r>
    </w:p>
    <w:p>
      <w:r>
        <w:t>C-1648/2020 Seite 33</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15,4 % (100 % – 36 % [Strassentransport] – 48,6 %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51,4 % (36 % + 15,4 %). Der Ge- samtanteil der gewerblichen Risikogemeinschaft 49A D0 erhöht sich damit auf gerundet 51 %. Jener der – nicht gewerblichen (vgl. den oben wieder- gegebenen Wortlaut von Art. 24 Abs. 1ter des Prämientarifs) – Büroklasse 60F C0 blieb hingegen unverändert bei 48,6 %, respektive gerundet 49 %. Dieses Vorgehen erweist sich ebenfalls als tarifkonform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w:t>
      </w:r>
    </w:p>
    <w:p>
      <w:r>
        <w:t>C-1648/2020 Seite 34 Risikogemeinschaft 60F C0 (Büros) von 0,1552 % (entspricht Stufe 43, vgl. Anhang 1 S. 39) sowie der erwähnten Anteile der besonderen Betriebs- merkmale von 51 % Strassentransport und 49 % Bürotätigkeiten resultierte in der BUV ein Mischsatz von gerundet 1,4173 % (51 % von 2,63 % + 49 % von 0,1552 %), der – gemäss Art. 24 Abs. 2 des Prämientarifs auf den nächstliegenden Nettosatz gerundet – einen Prämiensatz von 1,395 % (Stufe 88)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1,3072 % (51 % von 1,78 % + 49 % von 0,815 %), der gemäss Art. 24 Abs. 2 des Prämien- tarifs auf den nächstliegenden Nettosatz gerundet einen Prämiensatz von 1,328 % (Stufe 87) ergab. Beide (auf Tarifstufe gerundete) Mischsätze sind nicht zu beanstanden.</w:t>
      </w:r>
    </w:p>
    <w:p>
      <w:r>
        <w:rPr>
          <w:b/>
        </w:rPr>
        <w:t>E. 8.5</w:t>
      </w:r>
    </w:p>
    <w:p>
      <w:r>
        <w:t>Zur Bestimmung des anwendbaren Prämienmodells ermittelte die Vor- 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Allerdings beträgt die Beobachtungsdauer im Jahr 2019 aufgrund der Übergangsbestimmung Art. 53 Abs. 6 des Prämientarifs 7 Jahre. Die Vor- instanz ermittelte gestützt auf die der Beobachtungsperiode 2011 bis 2017 zugrundeliegenden Daten, welche von der Beschwerdeführerin nicht in Ab- rede gestellt werden, eine Basisprämie von Fr. (…) in der BUV und von Fr. (…) in der NBUV (vgl. hierzu die Tabelle im angefochtenen Einsprache- entscheid vom 11. März 2019 S. 5 [Suva-act. 103]). Gemäss der Über- 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 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w:t>
      </w:r>
    </w:p>
    <w:p>
      <w:r>
        <w:t>C-1648/2020 Seite 35</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1,328 % (Stufe 87)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19. Oktober 2018 (SUVA-act. 94 S. 5) ent-</w:t>
      </w:r>
    </w:p>
    <w:p>
      <w:r>
        <w:t>C-1648/2020 Seite 36 haltenen Angaben basieren. Insbesondere ermittelte die Vorinstanz in An- wendung der Formel für das Bonus-Malus-System eine Kredibilität des Be- triebs von gerundet 17,77 % ({…} [vgl. Art. 37 Abs. 2 des Prämientarifs so- wie Formel in der Fussnote Nr. 40]). Anschliessend ermittelte die Vor- instanz den Aufwand sowie den BMS-relevanten Aufwand (entspricht der Summe aus dem Aufwand und den Abzügen [vgl. Erläuterungen zum Grundlagenblatt 2019; Suva-act. 94 S. 6 Ziff. 2.3]) des Betriebs und der Ri- sikogemeinschaft, wobei die Werte der Risikogemeinschaft auf die Grösse des Betriebs der Beschwerdeführerin skaliert wurden. In casu beträgt der Aufwand des Betriebs Fr. (…) und der BMS-relevante Aufwand des Be- triebs Fr. (…) (Art. 37 Abs. 5 des Prämientarifs; vgl. Ziff. 2.1 und 2.3 Grund- lagenblatt BUV 2019 [SUVA-act. 114 S. 6]); der auf die Grösse des Be- triebs umgerechnete Aufwand sowie der BMS-relevante Aufwand der Risi- kogemeinschaft beträgt Fr. (…) resp. Fr. (…). Ausgehend von diesen Wer- ten berechnete die Vorinstanz einerseits die Schadenquote der Risikoge- meinschaft, und andererseits die BMS-relevanten Schadenquoten des Be- triebs wie auch der Risikogemeinschaft, die allesamt zur Berechnung des Bonus/Malus dienen. Die von der Vorinstanz ermittelten BMS-relevanten Schadenquoten des Betriebs von 17,0154 % (Fr. {…} [BMS-Aufwand des Betriebs] dividiert durch Fr. (…) [Basisprämie]) und der Risikogemeinschaft von 61,5771 % (Fr. {…} [BMS-Aufwand der Risikogemeinschaft] dividiert durch Fr. {…} [Basisprämie]) sowie die Schadenquote der Risikogemein- schaft von 82,3489 % (Fr. {…} [Aufwand der Risikogemeinschaft] dividiert durch Fr. {…} [Basisprämie]) erweisen sich als korrekt (vgl. die hierzu be- nötigten Berechnungsformeln in Fussnote Nr. 41 des Prämientarifs sowie die Erläuterungen samt benötigten Angaben im Einspracheentscheid vom</w:t>
      </w:r>
    </w:p>
    <w:p>
      <w:r>
        <w:rPr>
          <w:b/>
        </w:rPr>
        <w:t>E. 8.8</w:t>
      </w:r>
    </w:p>
    <w:p>
      <w:r>
        <w:t>Indessen sieht der Prämientarif in Art. 45 eine Begrenzung der jährli- chen Prämienänderung vor, wobei diesbezüglich in casu zusätzlich die Übergangsbestimmung von Art. 53 Abs. 10 beachtlich ist. Im angefochte-</w:t>
      </w:r>
    </w:p>
    <w:p>
      <w:r>
        <w:t>C-1648/2020 Seite 37 nen Einspracheentscheid vom 11. März 2019 hat die Vorinstanz die vorlie- gend zu beachtenden Grundsätze der Begrenzung der jährlichen Prämien- änderung gemäss Prämientarif äusserst verkürzt wiedergegeben, so dass der von ihr in casu ermittelte Nettoprämiensatz von 0,991 % (Stufe 81) in der BUV und von 1,205 % (Stufe 85) in der NBUV von einem Laien nur knapp nachvollzogen werden kann. Mit Vernehmlassung vom 7. Mai 2020 sowie mit Duplik vom 27. Juli 2020 hat sie die entsprechenden Grundsätze der Begrenzung der jährlichen Prämienänderung im Zusammenhang mit der Rüge der Beschwerdeführerin, die Prämienerhöhungen seien nicht verhältnismässig, ausführlicher und somit auch für den Laien verständlich dargelegt. Insbesondere hat sie in diesem Zusammenhang darauf hinge- wiesen, dass die Regeln gemäss Art. 45 des Prämientarifs infolge der Ein- führung von Änderungen bei der Prämienbemessung per 1. Januar 2019 durch die Übergangsbestimmung Art. 53 Abs. 10 des Prämientarifs (weiter) gemildert wurden (vgl. BVGer-act. 7 S. 6 f. und 13 S. 3 f.).</w:t>
      </w:r>
    </w:p>
    <w:p>
      <w:r>
        <w:rPr>
          <w:b/>
        </w:rPr>
        <w:t>E. 8.8.1</w:t>
      </w:r>
    </w:p>
    <w:p>
      <w:r>
        <w:t>In casu entspricht der massgebende Basissatz (Mischsatz) in der BUV der Stufe 88 (vgl. E. 8.4 hiervor). Die maximal zulässige jährliche Prä- mienänderung in der BUV beträgt in diesem Fall zwei Stufen (vgl. Art. 45 Abs. 3 i.V.m. Art. 53 Abs. 10 des Prämientarifs). Zulässig wäre daher im Jahr 2019 grundsätzlich eine Erhöhung um zwei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1,281 % und somit der Stufe 86 entspricht (E. 8.7.2 hiervor). Ebenso korrekt erweist sich der Hinweis, dass die Beschwerdeführerin im Jahr 2018 in der BUV in Stufe 75 (Nettoprämiensatz von 0,74 %) eingereiht war (vgl. Wiedererwä- gungsentscheid vom 30. Oktober 2018 [Suva-act. 95]) und somit die Diffe- renz elf Stufen beträgt. Nach den soeben dargelegten Regeln hat die Suva zutreffend eine Prämienerhöhung um sechs Stufen (11 / 2 = 5,5  gerun- det 6) vorgenommen, was der verfügten Stufe 81 mit einem Nettoprämien- satz von 0,991 % entspricht. Die sich daraus ergebende Prämienerhöhung beträgt rund 33,92 % ([0,991 – 0,74] x 100 / 0,74).</w:t>
      </w:r>
    </w:p>
    <w:p>
      <w:r>
        <w:rPr>
          <w:b/>
        </w:rPr>
        <w:t>E. 8.8.2</w:t>
      </w:r>
    </w:p>
    <w:p>
      <w:r>
        <w:t>In der NBUV entspricht der massgebende Basissatz (Mischsatz) der Stufe 87 (vgl. E. 8.4 hiervor). Die maximal zulässige jährliche Prämienän- derung beträgt in diesem Fall grundsätzlich zwei Stufen (vgl. Art. 45 Abs. 3</w:t>
      </w:r>
    </w:p>
    <w:p>
      <w:r>
        <w:t>C-1648/2020 Seite 38 i.V.m. Art. 53 Abs. 10 des Prämientarifs). Die Beschwerdeführerin war im Jahr 2018 in der NBUV in Stufe 82 (Nettoprämiensatz 1,041 %) eingereiht (vgl. Wiedererwägungsentscheid vom 30. Oktober 2018 [Suva-act. 95]) und ihr Prämienbedarf beträgt gemäss massgebendem Basissatz (Misch- satz) 1,328 %, entsprechend der Stufe 87. Aufgrund der Differenz von 5 Stufen erweist sich nach den eingangsbeschriebenen Regeln die von der Vorinstanz verfügte Prämienerhöhung in der NBUV um drei Stufen (5 / 2 = 2,5  gerundet 3) auf Stufe 85 (Nettoprämiensatz 1,205 %) ebenfalls als korrekt. Die sich daraus ergebende Prämienerhöhung beträgt rund 15,75 % ([1,205 – 1,041] x 100 / 1,041).</w:t>
      </w:r>
    </w:p>
    <w:p>
      <w:r>
        <w:rPr>
          <w:b/>
        </w:rPr>
        <w:t>E. 8.9</w:t>
      </w:r>
    </w:p>
    <w:p>
      <w:r>
        <w:t>Zu prüfen bleibt die Verhältnismässigkeit der Erhöhung des Nettoprä- miensatzes um 33,92 % in der BUV und um 15,75 %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zufallsabhängigen Schwankungen der Prä- miensätze vermindert, was die Rechtsprechung auch als wesentlichen Vor- teil des BMS bezeichnet hat (Urteil des BVGer C-2341/2007 E. 5.4.2 mit Hinweis auf Urteil der Rekurskommission UV vom 13. Dezember 2004, publ. in: VPB 69.73 E. 7; Urteil des BVGer C-3189/2006 E. 8.4 und E. 8.5.1).</w:t>
      </w:r>
    </w:p>
    <w:p>
      <w:r>
        <w:rPr>
          <w:b/>
        </w:rPr>
        <w:t>E. 8.9.2</w:t>
      </w:r>
    </w:p>
    <w:p>
      <w:r>
        <w:t>Vorliegend wurde der Nettoprämiensatz in der BUV von 0,74 % (Stufe 75) im Jahr 2018 per 1. Januar 2019 auf 0,991 % (Stufe 81) ange- hoben. Massgebend ist diese jährliche Prämienerhöhung um sechs Stufen bzw. 33,92 %, mit welcher der Bedarfssatz des Betriebes von 1,281 %</w:t>
      </w:r>
    </w:p>
    <w:p>
      <w:r>
        <w:t>C-1648/2020 Seite 39 (Stufe 86) noch nicht erreicht ist, und was gemäss Prämientarif zulässig ist. Die jährliche Erhöhung von vorliegend 33,92 % kann im Lichte der vor- stehend zitierten Rechtsprechung – entgegen der Ansicht der Beschwer- deführerin – noch nicht als unverhältnismässig oder willkürlich bezeichnet werden. Es bleibt zu erwähnen, dass die Beschwerdeführerin nach der Neueinreihung in den Prämientarif 2019 immer noch 7 Stufen unter der dem ermittelten Basissatz (Mischsatz) entsprechenden massgebenden Stufe (88) eingereiht ist und ein im Vergleich zu gleichartigen Betrieben zu tiefer Prämiensatz grundsätzlich im Widerspruch steht zum Prinzip der Ri- sikogerechtigkeit bzw. dem Gleichbehandlungsgebot, weshalb innert nütz- licher Frist eine schrittweise Anpassung an den risikogerechten Prämien- satz der Risikogemeinschaft, in welche die Beschwerdeführerin erst per 1. Januar 2019 neu eingereiht wurde, zu erfolgen hat. Ebenso wenig er- weist sich im Lichte der vorstehend zitierten Rechtsprechung die jährliche Prämienerhöhung in der NBUV von 15,75 % als unverhältnismässig oder willkürlich, zumal der verfügte Nettoprämiensatz immer noch zwei Stufen unter dem massgebenden Mischsatz liegt (vgl. auch Urteile des BVGer C-319/2009 vom 29. Mai 2012; E. 6.2 und C-919/2008 vom 24. März 2010 E. 6.5.2). Die Erhöhung des BUV-Prämiensatzes auf 0,991 % sowie des NBUV-Prämiensatzes auf 1,205 %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11.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w:t>
      </w:r>
    </w:p>
    <w:p>
      <w:r>
        <w:t>C-1648/2020 Seite 40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11.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ebenfalls keinen Anspruch auf eine Parteientschädigung (Art. 7 Abs. 1 VGKE e contrario).</w:t>
      </w:r>
    </w:p>
    <w:p>
      <w:r>
        <w:rPr>
          <w:b/>
        </w:rPr>
        <w:t>E. 11</w:t>
      </w:r>
    </w:p>
    <w:p>
      <w:r>
        <w:t>März 2019 [Suva-act. 103 S. 5-8]). Schliesslich berechnete die Vo- rinstanz den Bonus/Malus (vgl. die Berechnungsformel in der Fussnote Nr. 41 des Prämientarifs) und ermittelte dabei zutreffend einen Bonus von 0,1363 %. Den Bedarfssatz berechnete sie auf 1,281 %, indem sie den er- mittelten Bonus von 0,1363 % vom vorangehend errechneten Mischsatz von 1,4173 % (vgl. E. 8.4 hiervor) abzog. Grundsätzlich entspricht der Net- toprämiensatz der Risikoeinheit in der BUV dem ihrem Bedarfssatz am nächsten liegenden Nettosatz des Suva-Grundtarifs (Art. 37 Abs. 8 Prämi- entarif), vorliegend demzufolge der Stufe 86 mit einem Nettosatz von 1,265 %.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