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C-1647/2020 vom 12. März 2019</w:t>
      </w:r>
    </w:p>
    <w:p>
      <w:r>
        <w:t>Bundesverwaltungsgericht, 2019-03-12, DE</w:t>
      </w:r>
    </w:p>
    <w:p>
      <w:r>
        <w:rPr>
          <w:b/>
        </w:rPr>
        <w:t xml:space="preserve">Quelle: </w:t>
      </w:r>
      <w:r>
        <w:t>https://mcp.opencaselaw.ch/entscheid/bvger_C-1647_2020_d20190312</w:t>
      </w:r>
    </w:p>
    <w:p>
      <w:r>
        <w:t>FR: TAF C-1647/2020 du 12 mars 2019</w:t>
      </w:r>
    </w:p>
    <w:p>
      <w:r>
        <w:t>IT: TAF C-1647/2020 del 12 marzo 2019</w:t>
      </w:r>
    </w:p>
    <w:p>
      <w:pPr>
        <w:pStyle w:val="Heading2"/>
      </w:pPr>
      <w:r>
        <w:t>Regeste</w:t>
      </w:r>
    </w:p>
    <w:p>
      <w:r>
        <w:t>Zuteilung zu den Pr&amp;auml;mientarifen | Unfallversicherung, Neueinreihung des Betriebs im Prämientarif 2019 der SUVA für BUV/NBUV (Einspracheentscheid vom 12. März 2019)</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w:t>
      </w:r>
    </w:p>
    <w:p>
      <w:r>
        <w:t>C-1647/2020 Seite 10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12. März 2019, mit welchem die Suva die Ein- sprache der Beschwerdeführerin vom 14.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der Neueinreihung zusammenhängende Prämienerhöhung als nicht nachvollziehbar und unverhältnismässig rügt, hat sie auch die im Einspracheentscheid vom 12. März 2019 vorgenommene Prämienberech- nung mitangefochten. Nachfolgend vom Bundesverwaltungsgericht zu prü- fen ist daher, ob die Vorinstanz die Beschwerdeführerin zu Recht mit Wir-</w:t>
      </w:r>
    </w:p>
    <w:p>
      <w:r>
        <w:t>C-1647/2020 Seite 11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w:t>
      </w:r>
    </w:p>
    <w:p>
      <w:r>
        <w:t>C-1647/2020 Seite 12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w:t>
      </w:r>
    </w:p>
    <w:p>
      <w:r>
        <w:t>C-1647/2020 Seite 13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w:t>
      </w:r>
    </w:p>
    <w:p>
      <w:r>
        <w:t>C-1647/2020 Seite 14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w:t>
      </w:r>
    </w:p>
    <w:p>
      <w:r>
        <w:t>C-1647/2020 Seite 15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7];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w:t>
      </w:r>
    </w:p>
    <w:p>
      <w:r>
        <w:t>C-1647/2020 Seite 16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w:t>
      </w:r>
    </w:p>
    <w:p>
      <w:r>
        <w:t>C-1647/2020 Seite 17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30. Oktober 2018 (recte: 19. Oktober 2018) über die Neueinreihung orien- tiert mit dem Hinweis, Betriebe, welche diese Art der Tätigkeit ausübten, würden dieser Klasse zugeteilt. Die Suva selbst habe bereits im Jahr 2018 in zwei die Mineralölbranche betreffenden Verfahren vor dem Bundesver- waltungsgericht die Intransparenz ihrer Vorgehensweise bzw. deren man- gelhafte Begründung explizit eingeräumt. Im Weiteren sei nicht nachvoll- ziehbar und habe die Suva auch nicht begründet, weshalb sie die dem Tanklager nachgelagerten Umschlagstätigkeiten neu dem Strassentrans- 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 5.2.2 Die Vorinstanz entgegnet in ihrer Duplik vom 27. Juli 2020, dass die Rügen der Beschwerdeführerin nicht zuträfen und sie bereits mit Wieder- erwägung vom 30. Oktober 2018 dargelegt habe, dass der Grund für die Praxisänderung darin gelegen habe, dass Transporttätigkeiten ein wesent- lich grösseres Risiko darstellten als der Brenn- und Treibstoffhandel. Zu- dem sei anzumerken, dass sich der Anspruch auf rechtliches Gehör nur auf das Rechtsanwendungsverfahren und nicht auf das Verfahren zum Er- lass von generell-abstrakten Regeln beziehe. Die Begründungspflicht er- strecke sich somit auf die angefochtene Verfügung, nicht auf die Tarifrevi- sion. 5.3 5.3.1 Soweit die Beschwerdeführerin der Vorinstanz bezüglich ihres Vor- gehens betreffend die Neueinreihung Intransparenz vorwirft, kann ihr nicht gefolgt werden. Bereits im Rahmen der mit Verfügungen vom 17. Januar 2014 vorgenommenen Rückeinreihung in die Klasse 52A per 1. Januar</w:t>
      </w:r>
    </w:p>
    <w:p>
      <w:r>
        <w:t>C-1647/2020 Seite 18 2011 wies die Vorinstanz darauf hin, dass per 1. Januar 2016 neue Zutei- lungsregeln in Kraft treten würden, und deutete dabei an, dass sich die Einreihung in eine Klasse ändern könnte, dies indes noch nicht gesagt wer- den könnte (vgl. Suva-act. 70). In der Folge wurde mit Einreihungsverfü- gung per 1. Januar 2016 vom 30. Juli 2015 nochmals darauf hingewiesen, dass der Verwaltungsrat der Suva (seit 1. Januar 2017 Suva-Rat [Art. 62 Bst. a UVG]) zwecks Vereinheitlichung und Vereinfachung der Einrei- hungsregeln sowie zwecks Verbesserung der Risikogerechtigkeit be- schlossen habe, per 1. Januar 2016 die Einreihungsregeln zur Zuteilung der Betriebe zu den Risikogemeinschaften und zu den besonderen Be- triebsverhältnissen zu ändern. Diese Änderungen hatten für die Beschwer- deführerin bezüglich der Klassenzuteilung indes noch keine Auswirkungen, da damals einerseits die Betriebsbeschreibung vom 15. November 2011 (Suva-act. 4) die Grundlage für die Zuteilung bildete und andererseits die Tarifrevision der Klasse 52A, Unterklasse L0, noch nicht vollzogen wurde (vgl. Wiedererwägungsverfügung vom 30. Oktober 2018 [Suva-act. 115]). Allerdings wurde der Beschwerdeführerin – worauf die Vorinstanz zutref- fend hinweist – nach erfolgter Aktualisierung der Betriebsbeschreibung vom 4. Januar 2017 (vgl. Suva-act. 99) unter Bezugnahme auf jene mit Vorbescheid vom 11. Januar 2017, auf welchen die Beschwerdeführerin im Übrigen in ihrer Beschwerdeschrift vom 11. April 2019 selbst hinweist (in- dessen fälschlicherweise als Einreihungsverfügung bezeichnet [vgl. Be- schwerdedossier C-1753/2019, BVGer-act. 1 S. 3 zweiter Absatz]), ange- kündigt, dass die Beschwerdeführerin aufgrund der in der Betriebsbe- schreibung vom 4. Januar 2017 dargelegten Betriebsverhältnisse ab dem 1. Januar 2018 neu in die Klasse 49A (Strassentransporte), Unterklas- senteil D0 (Strassentransport von Gütern) eingereiht werden würde (Suva- 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14.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7];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30. Oktober 2018 (recte: 19. Oktober 2018) über die Neueinreihung orientiert mit dem Hinweis, Betriebe, welche diese Art der Tätigkeit ausübten, würden dieser Klasse zugeteilt. Die Suva selbst habe bereits im Jahr 2018 in zwei die Mineralölbranche betreffenden Verfahren vor dem Bundesverwaltungsgericht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w:t>
      </w:r>
    </w:p>
    <w:p>
      <w:r>
        <w:rPr>
          <w:b/>
        </w:rPr>
        <w:t>E. 5.2.2</w:t>
      </w:r>
    </w:p>
    <w:p>
      <w:r>
        <w:t>Die Vorinstanz entgegnet in ihrer Duplik vom 27. Juli 2020, dass die Rügen der Beschwerdeführerin nicht zuträfen und sie bereits mit Wiedererwägung vom 30. Oktober 2018 dargelegt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Bereits im Rahmen der mit Verfügungen vom 17. Januar 2014 vorgenommenen Rückeinreihung in die Klasse 52A per 1. Januar 2011 wies die Vorinstanz darauf hin, dass per 1. Januar 2016 neue Zuteilungsregeln in Kraft treten würden, und deutete dabei an, dass sich die Einreihung in eine Klasse ändern könnte, dies indes noch nicht gesagt werden könnte (vgl. Suva-act. 70). In der Folge wurde mit Einreihungsverfügung per 1. Januar 2016 vom 30. Juli 2015 nochmals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15. November 2011 (Suva-act. 4) die Grundlage für die Zuteilung bildete und andererseits die Tarifrevision der Klasse 52A, Unterklasse L0, noch nicht vollzogen wurde (vgl. Wiedererwägungsverfügung vom 30. Oktober 2018 [Suva-act. 115]). Allerdings wurde der Beschwerdeführerin - worauf die Vorinstanz zutreffend hinweist - nach erfolgter Aktualisierung der Betriebsbeschreibung vom 4. Januar 2017 (vgl. Suva-act. 99) unter Bezugnahme auf jene mit Vorbescheid vom 11. Januar 2017, auf welchen die Beschwerdeführerin im Übrigen in ihrer Beschwerdeschrift vom 11. April 2019 selbst hinweist (indessen fälschlicherweise als Einreihungsverfügung bezeichnet [vgl. Beschwerdedossier C-1753/2019, BVGer-act. 1 S. 3 zweiter Absatz]), angekündigt, dass die Beschwerdeführerin aufgrund der in der Betriebsbeschreibung vom 4. Januar 2017 dargelegten Betriebsverhältnisse ab dem 1. Januar 2018 neu in die Klasse 49A (Strassentransporte), Unterklassenteil D0 (Strassentransport von Gütern) eingereiht werden würde (Suva-act.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11. Januar 2017 verfahren ist und die Beschwerdeführerin ankündigungsgemäss - allerdings voreilig (vgl. Begründung der Wiedererwägungsverfügung vom 30. Oktober 2018 [Suva-act. 115]) sowie E-Mail des Bereichsleiters der Suva vom 17. Juli 2018 [Beschwerdedossier C-1753/2019, BVGer-act. 1 Beilage 3 S. 2 1. Absatz der Aufzählung resp. BVGer-act. 11 Beilage 1 S. 1 1. Absatz der Aufzählung]) - in die Klasse 49A (Strassentransporte), Unterklassenteil D0 (Strassentransport von Gütern), eingereiht hat (vgl. Suva-act. 105). Die Beschwerdeführerin hatte somit bereits damals sowohl nach Erhalt des Vorbescheids vom 11. Januar 2017 als auch nach Erhalt der Einreihungsverfügung vom 18. August 2017 Gelegenheit erhalten, sich zur Neueinreihung zu äussern, was sie nachweislich und unbestritten nicht getan hat.</w:t>
      </w:r>
    </w:p>
    <w:p>
      <w:r>
        <w:rPr>
          <w:b/>
        </w:rPr>
        <w:t>E. 5.3.2</w:t>
      </w:r>
    </w:p>
    <w:p>
      <w:r>
        <w:t>Bezüglich des Vorwurfs der fehlenden Begründung ist im Weiteren festzuhalten, dass in der Verfügung vom 18. August 2017 (Suva-act. 105)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115).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Schliesslich kann der Vorinstanz auch in Bezug auf den vorliegend angefochtenen Einspracheentscheid vom 12.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123).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Oktober 2000 über den Allgemeinen Teil des Sozialversicherungsrechts (ATSG, SR 830.1).</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85 S. 4], welche jedoch noch keine Auswirkungen auf die Klas- senzuteilung der Beschwerdeführerin hatte, da die Revision der Klasse 52A erst am 1. Januar 2019 in Kraft getreten ist [vgl. Wiedererwägungsver- fügung vom 30. Oktober 2018, Suva-act. 115])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w:t>
      </w:r>
    </w:p>
    <w:p>
      <w:r>
        <w:t>C-1647/2020 Seite 22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w:t>
      </w:r>
    </w:p>
    <w:p>
      <w:r>
        <w:t>C-1647/2020 Seite 23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 und den Betrieb der Beschwerdeführerin zu Recht in die Klasse 49A (Stras-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w:t>
      </w:r>
    </w:p>
    <w:p>
      <w:r>
        <w:t>C-1647/2020 Seite 24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 7. 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4. Januar 2017 (vgl. Suva-act. 99). Die Richtigkeit der Betriebsbeschreibung ist dabei unbestritten. Danach betreibt die Beschwerdeführerin zu 7 % Lager und Umschlagsarbeiten von Brenn- und Treibstoffen, zu 26 % Strassentrans- port von Gütern, zu 53% administrative Tätigkeiten sowie zu 14 % Tankre- visionsarbeiten. Da die administrativen Tätigkeiten (in casu 53%) nach Art. 18 Abs. 1 des Suva-Prämientarifs für die Einreihung nicht zu berück- sichtigen sind, hat die Suva vorliegend auf den nächsthöheren Betriebsan- teil von 26 % abgestellt, welcher auf den Strassentransport von Gütern ent- fällt. 7.1 Die Beschwerdeführerin bringt keine überzeugenden Gründe vor, die die von der Vorinstanz vorgenommene Einreihung als unzutreffend er- scheinen lassen würden.</w:t>
      </w:r>
    </w:p>
    <w:p>
      <w:r>
        <w:t>C-1647/2020 Seite 25 7.1.1 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7 S. 4 4. Absatz) – zu übersehen, dass ge-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keine Tätigkeiten ersichtlich sind, welche der Definition der Klasse 49A nicht entsprechen würden. Anders als es die Beschwerdefüh- rerin jedoch offensichtlich darzustellen versucht, ist auch das Be- und Ent- laden mit gewissen Risiken für die Tanklastwagenfahrer verbunden. Auf diesen Umstand weist die Vorinstanz mit ergänzenden Ausführungen in ih- rer Duplik vom 27. Juli 2020 zu Recht hin. Entgegen der Ansicht der Be- schwerdeführerin verstrickt sich die Vorinstanz dabei nicht in einen unlös- 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 genen Vergleichs mit der ebenfalls der Risikogemeinschaft 49A zugeord- neten Personenbeförderung auf Strassen (bei einem Gesamtgewicht bis 3,5 t als Unterklasse «F0» und bei einem Gesamtgewicht über 3,5 t als Unterklasse «G0») wird jedoch klar, dass sie insbesondere hervorheben</w:t>
      </w:r>
    </w:p>
    <w:p>
      <w:r>
        <w:t>C-1647/2020 Seite 26 wollte, dass nicht nur die eigentliche Beförderung der Güter, sondern auch die Lade- und Umschlagstätigkeiten der Chauffeure mit typischen Risiken verbunden sind, welche die Prämienbemessung massgeblich beeinflus- sen. Dies zeigt insbesondere der Vergleich mit dem Personentransport, bei welchem sich die Tätigkeit der Chauffeure im Wesentlichen auf die eigent- liche Beförderung (von Personen) beschränkt (vgl. den Beschrieb der Un- terklassen F0 und G0, BVGer-act. 7 Beilage C). Das heisst, deren Tätigkeit beinhaltet keine weiteren, mit zusätzlichen Unfallrisiken verbundene Arbei- ten, wie z.B. die Lade- und Umschlagsarbeiten im Bereich des Gütertrans- ports, weshalb die Basissätze des Personentransports im Prämientarif auch wesentlich tiefer sind als jene des Gütertransports (Stufe 70 bzw. Stufe 85 vs. Stufe 101 [vgl. die Ausführungen der Vorinstanz in ihrer Duplik vom 27. Juli 2020 [BVGer-act. 13 S. 2 letzter Absatz]). 7.1.2 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7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 mal den höchsten Lohnsummenanteil im Betrieb aufweist (vgl. Art. 18 Abs. 1 und 2 des Prämientarifs). In casu beträgt der Anteil der in der Klas-</w:t>
      </w:r>
    </w:p>
    <w:p>
      <w:r>
        <w:t>C-1647/2020 Seite 27 senumschreibung 52A genannten Tätigkeiten des Brenn- und Treibstoff- handels – was die Beschwerdeführerin in der Betriebsbeschreibung vom 4. Januar 2017 bei den branchenüblichen Handelstätigkeiten selbst dekla- riert hat (vgl. Suva-act. 99 S. 2) – jedoch lediglich 7 %. Dieser ist somit deutlich kleiner als der Anteil der Tätigkeit betreffend Strassentransport von Gütern, der 26 % beträgt. An diesem Ergebnis ändert in versicherungs- mässiger Hinsicht auch der Hinweis der Beschwerdeführerin nichts, wo- nach sie als Importeurin der Pflichtlagerhaltung unterworfen sei. Entschei- dend sind vielmehr die Tätigkeiten der versicherten Lohnsumme, worauf die Vorinstanz zutreffend hinweist. 7.1.3 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 7.2 7.2.1 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w:t>
      </w:r>
    </w:p>
    <w:p>
      <w:r>
        <w:t>C-1647/2020 Seite 28 keiten» klar ersichtlich, welche den in der Klassenumschreibung 52A (Han- dels- und Lagerbetriebe) genannten Tätigkeiten entsprechen (vgl. Suva- act. 99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 schwerdeführerin eine Ungleichbehandlung der Betriebe des Brenn- und Treibstoffhandels gegenüber Betrieben aus anderen Handelsbranchen er- kennen will, entgegen der impliziten Behauptung nicht um ein auf Handels- betriebe (vorliegend der Baumaterial- oder Metallbranche) zugeschnitte- nes Formular. Aus der Umschreibung der branchenüblichen sowie bran- chennahen Tätigkeiten geht eindeutig hervor, dass das Formular offen- sichtlich auf Betriebe zugeschnitten ist, welche schwerpunktmässig Plat- tenleger-, Hafner- oder Innenisolationsarbeiten durchführen; die in diesem Formular erwähnten «branchenüblichen Tätigkeiten» entsprechen eindeu- tig den in der Klassenumschreibung der Risikogemeinschaft 45M (Platten- leger, Hafner und Innenisolationen) aufgeführten Tätigkeiten (vgl. die ent- sprechende Klassenumschreibung, abrufbar unter www.suva.ch/de- ch/versicherung/loehne-und-praemien/praemien, zuletzt besucht am 23.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 7.2.2 Wie bereits dargelegt, fallen Strassentransporte bei Handelsbetrie- ben der Mineralölbranche infolge der durchgeführten und vom Suva-Rat per 1. Januar 2019 in Kraft gesetzten Tarifrevision der Klasse 52A nicht</w:t>
      </w:r>
    </w:p>
    <w:p>
      <w:r>
        <w:t>C-1647/2020 Seite 29 mehr unter die branchenüblichen Handelstätigkeiten, sondern werden seit- her unter der Rubrik «branchennahe Tätigkeiten» erfasst. Dass die Be- schwerdeführerin nicht der Risikogemeinschaft 52A zugeteilt wurde, ist in casu schlicht dem Umstand geschuldet, dass der Anteil der branchenübli- chen Tätigkeit von Lager- Umschlagsarbeiten von Brenn und Treibstoffen bei der Beschwerdeführerin – wie bereits festgestellt (E. 7.1.2 hiervor) – mit 7 % wesentlich geringer ausfällt als derjenige des Strassentransports von Gütern mit 26 %. In diesem Zusammenhang ist überdies darauf hinzu- weisen, dass bereits vor der Tarifrevision der Klasse 52A im Formular für Handelsunternehmen unter der Rubrik «weitere Tätigkeiten» ebenfalls das Betriebsmerkmal «Strassentransport von Gütern» erfasst wurde. Bei Be- 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15. November 2010 [Suva-act. 4 S. 2]). Da- rauf weist auch die Vorinstanz im Rahmen ihrer Duplik vom 27. Juli 2020 ausdrücklich hin (vgl. BVGer-act. 13 S. 3 zweiter Absatz). Das heisst, Fir- men aus anderen Handelsbranchen wurden gegenüber denjenigen der Mi- neralölbranche vor der Tarifrevision unterschiedlich behandelt. Es ist offen- sichtlich, dass die Mitberücksichtigung der Strassentransporte als bran- 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 ben kann. Das heisst, bis Ende 2018 wurde bei Handelsunternehmen der Mineralölbranche dem Aspekt der risikoreicheren Tätigkeit des Strassen- transports von Gütern bei der Prämienfestsetzung weniger Rechnung ge- tragen (sei es als ausschlaggebendes Merkmal für die Zuteilung oder sei es als besonderes Betriebsmerkmal) als bei Handelsunternehmen anderer Branchen. Im Rahmen der per 1. Januar 2019 durchgeführten Tarifrevision der Klasse 52A wurden nunmehr die Unterklassenteile 52A H0 (Stahl,- Me- tallhalbzeughandel), 52A K0 (Baumaterial-, Holzwerkstoffhandel) und 52A L0 (Brenn-, Treibstoffhandel) zum Unterklassenteil 52A K0 (Baumaterial-, Metall- und Treibstoffhandel) zusammengefasst. Würden die Transporttä- tigkeiten bei Betrieben des Brenn- und Treibstoffhandels wie bis anhin se- 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w:t>
      </w:r>
    </w:p>
    <w:p>
      <w:r>
        <w:t>C-1647/2020 Seite 30 che. Um eine Gleichbehandlung aller Betriebe innerhalb des neuen Unter- klassenteils wie auch innerhalb der Klasse zu gewährleisten, muss somit auch bei Handelsunternehmen der Mineralölbranche der Strassentrans- port separat erfasst werden. 7.3 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C-1753/2019, BVGer-act. 1 Beilage 3 S. 2, 1. Absatz der Aufzählung resp. BVGer-act. 11 Beilage 1 S. 1, 1. Absatz der Aufzählung). Diese unmissverständliche Auskunft scheint der Rechtsvertreter überse- hen zu haben (vgl. letzten Absatz seiner Antwort vom 21. Juli 2018 auf die E-Mail der Vorinstanz vom 17. Juli 2018 [Beschwerdedossier C-1753/2019,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w:t>
      </w:r>
    </w:p>
    <w:p>
      <w:r>
        <w:t>C-1647/2020 Seite 31 gegenüber dem Bundesverwaltungsgericht in den beiden von der Be- schwerdeführerin genannten Beschwerdeverfahren getätigte Aussage, die betroffenen Betriebe nach den «dannzumal geltenden Einreihungsregeln und der Klassenstruktur» einzureihen, nichts am Ergebnis. Entgegen der von der Beschwerdeführerin offenbar vertretenen Ansicht bedeutet «dann- zumal» gemäss Duden «dann, in jenem Augenblick» (wobei es sich hierbei um einen schweizerischen Ausdruck handelt, vgl. www.duden.de). Das heisst, die Vorinstanz hat mit jener Formulierung nichts Anderes zum Aus- druck gebracht, als dass sie für die Prämieneinreihung im Jahr 2019 die ab 1. Januar 2019 geltenden, neuen Regeln anwenden werde. Dass die ver- fügte Einreihung dabei bereits im September 2018 (recte: am 19. Oktober 2018) erfolgte, ist dem Umstand geschuldet, dass die Versicherer die Er- höhungen des Nettoprämiensatzes den versicherten Betrieben von Geset- zes wegen mindestens zwei Monate vor Ende des laufenden Rechnungs- jahres mitteilen müssen (Art. 59a UVG). 7.4 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11. April 2019 [Beschwerdedossier C-1753/2019,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w:t>
      </w:r>
    </w:p>
    <w:p>
      <w:r>
        <w:t>C-1647/2020 Seite 32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 Demzufolge wurde die Beschwerdeführerin – entgegen ihrer Behaup- tung – nicht nach undifferenzierten Kriterien eingereiht. 7.5 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25. März 2022 E. 8.3.4 zweiter Absatz in fine). 7.6 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w:t>
      </w:r>
    </w:p>
    <w:p>
      <w:r>
        <w:t>C-1647/2020 Seite 33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 8. 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 8.1 Wie bereits dargelegt, hat die Suva beim Betrieb der Beschwerdefüh- rerin den Strassentransport (mit 26 %)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53 % Administration den entsprechenden Schwellwert (von 30 %) überschreitet. Implizit hat die Vorinstanz sodann die bei der Beschwerdeführerin ebenfalls vorhandenen besonderen Be- triebsmerkmale «Lager- und Umschlagsarbeiten: Betreiben des eigenen Tanklagers» von 7 % sowie «Tankrevisionsarbeiten» von 14 %» als nicht relevant betrachtet, da diese eindeutig den gewerblichen Schwellwert von</w:t>
      </w:r>
    </w:p>
    <w:p>
      <w:r>
        <w:rPr>
          <w:b/>
        </w:rPr>
        <w:t>E. 7</w:t>
      </w:r>
    </w:p>
    <w:p>
      <w:r>
        <w:t>Vorliegend sind keine Gründe ersichtlich, um auf die bisher zu den neuen, per 1. Januar 2016 geänderten Zuweisungsregeln ergangene Rechtsprechung zurückzukommen. Denn auch in casu entspricht die Zuteilung in die Klasse 49A (Strassentransporte), Unterklassenteil K0, der von der Beschwerdeführerin selbst ausgefüllten und von ihr unterzeichneten (vgl. Art. 18 Abs. 3 des Prämientarifs) Betriebsbeschreibung vom 4. Januar 2017 (vgl. Suva-act. 99). Die Richtigkeit der Betriebsbeschreibung ist dabei unbestritten. Danach betreibt die Beschwerdeführerin zu 7 % Lager und Umschlagsarbeiten von Brenn- und Treibstoffen, zu 26 % Strassentransport von Gütern, zu 53% administrative Tätigkeiten sowie zu 14 % Tankrevisionsarbeiten. Da die administrativen Tätigkeiten (in casu 53%) nach Art. 18 Abs. 1 des Suva-Prämientarifs für die Einreihung nicht zu berücksichtigen sind, hat die Suva vorliegend auf den nächsthöheren Betriebsanteil von 26 % abgestellt, welcher auf den Strassentransport von Gütern entfällt.</w:t>
      </w:r>
    </w:p>
    <w:p>
      <w:r>
        <w:rPr>
          <w:b/>
        </w:rPr>
        <w:t>E. 7.1</w:t>
      </w:r>
    </w:p>
    <w:p>
      <w:r>
        <w:t>Die Beschwerdeführerin bringt keine überzeugenden Gründe vor, die die von der Vorinstanz vorgenommene Einreihung als unzutreffend erscheinen lassen würden.</w:t>
      </w:r>
    </w:p>
    <w:p>
      <w:r>
        <w:rPr>
          <w:b/>
        </w:rPr>
        <w:t>E. 7.1.1</w:t>
      </w:r>
    </w:p>
    <w:p>
      <w:r>
        <w:t>Zunächst zielt der Einwand der Beschwerdeführerin, dass die Lohnsummen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7 S. 4 4. Absatz) - zu übersehen, dass gemäss der vorinstanzlichen Klassenumschreibung für die Risikogemeinschaft 49A, Unterklasse D0 (Strassentransport von Gütern) unter dem Begriff «Strassentransport von Gütern» nicht nur die reine Beförderungstätigkeit zu verstehen ist, sondern darunter sämtliche mit dem Strassentransport zusammenhängenden Tätigkeiten fallen, die von den Chauffeuren ausgeführt werden. In der Klassenumschreibung der Klasse 49A (Strassentransporte)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Umschlagsarbeiten ihrer Chauffeure) innerhalb der Risikoklasse 49A, Unterklassenteil D0, mitberücksichtigt. Das heisst, die Erfahrungswerte betreffend die mit letzteren Tätigkeiten verbundenen - im Vergleich zur eigentlichen Beförderung von Gütern weniger hohen - typischen Risiken fliessen ebenfalls bei der Festsetzung des entsprechenden Basissatzes der Risikogemeinschaft 49A (Strassentransporte) mit ein. Die Vorinstanz weist in diesem Zusammenhang zutreffend darauf hin, dass sich aus dem eingereichten Tätigkeitsprotokoll keine Tätigkeiten ersichtlich sind, welche der Definition der Klasse 49A nicht entsprechen würden. Anders als es die Beschwerdeführerin jedoch offensichtlich darzustellen versucht, ist auch das Be- und Entladen mit gewissen Risiken für die Tanklastwagenfahrer verbunden. Auf diesen Umstand weist die Vorinstanz mit ergänzenden Ausführungen in ihrer Duplik vom 27. Juli 2020 zu Recht hin. Entgegen der Ansicht der Beschwerdeführerin verstrickt sich die Vorinstanz dabei nicht in einen unlösbaren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Beförderung der Güter, sondern auch die Lade- und Umschlagstätigkeiten der Chauffeure mit typischen Risiken verbunden sind, welche die Prämienbemessung massgeblich beeinflussen. Dies zeigt insbesondere der Vergleich mit dem Personentransport, bei welchem sich die Tätigkeit der Chauffeure im Wesentlichen auf die eigentliche Beförderung (von Personen) beschränkt (vgl. den Beschrieb der Unterklassen F0 und G0, BVGer-act. 7 Beilage C). Das heisst, deren Tätigkeit beinhaltet keine weiteren, mit zusätzlichen Unfallrisiken verbundene Arbeiten, wie z.B. die Lade- und Umschlagsarbeiten im Bereich des Gütertransports, weshalb die Basissätze des Personentransports im Prämientarif auch wesentlich tiefer sind als jene des Gütertransports (Stufe 70 bzw. Stufe 85 vs. Stufe 101 [vgl. die Ausführungen der Vorinstanz in ihrer Duplik vom 27. Juli 2020 [BVGer-act. 13 S. 2 letzter Absatz]).</w:t>
      </w:r>
    </w:p>
    <w:p>
      <w:r>
        <w:rPr>
          <w:b/>
        </w:rPr>
        <w:t>E. 7.1.2</w:t>
      </w:r>
    </w:p>
    <w:p>
      <w:r>
        <w:t>Zwar werden Lager- und Umschlagsarbeiten von Waren im Allgemeinen auch in der Klassenumschreibung 52A (Handels- und Lagerbetriebe) als entsprechende Tätigkeiten beschrieben; der Transport (und die damit zusammenhängenden Tätigkeiten der Chauffeure [vgl. Klassenumschreibung von 49A]) wird aber explizit nicht als Bestandteil der reinen Handelstätigkeit angesehen (vgl. BVGer-act. 7 Beilage D S. 1). Auch im Zusammenhang mit Brenn- und Treibstoffen wird der Transport ebenfalls explizit ausgenommen; das Beladen beziehungsweise Betanken sowie das Entladen respektive Enttanken des Tanklastwagens wird dabei ausdrücklich als übliche Tätigkeit des Lastwagenchauffeurs bezeichnet (in diesem Sinne ist auch die im Rahmen der Duplik vom 27. Juli 2020 getätigte, etwas missverständliche - da nicht dem allgemeinen Sprachgebrauch entsprechende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Umschlagsarbeiten von flüssigen und gasförmigen Brenn- und Treibstoffen erfasst,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Merkmal den höchsten Lohnsummenanteil im Betrieb aufweist (vgl. Art. 18 Abs. 1 und 2 des Prämientarifs). In casu beträgt der Anteil der in der Klassenumschreibung 52A genannten Tätigkeiten des Brenn- und Treibstoffhandels - was die Beschwerdeführerin in der Betriebsbeschreibung vom 4. Januar 2017 bei den branchenüblichen Handelstätigkeiten selbst deklariert hat (vgl. Suva-act. 99 S. 2) - jedoch lediglich 7 %. Dieser ist somit deutlich kleiner als der Anteil der Tätigkeit betreffend Strassentransport von Gütern, der 26 % beträgt. An diesem Ergebnis ändert in versicherungsmässiger Hinsicht auch der Hinweis der Beschwerdeführerin nichts, wonach sie als Importeurin der Pflichtlagerhaltung unterworfen sei. Entscheidend sind vielmehr die Tätigkeiten der versicherten Lohnsumme, worauf die Vorinstanz zutreffend hinweist.</w:t>
      </w:r>
    </w:p>
    <w:p>
      <w:r>
        <w:rPr>
          <w:b/>
        </w:rPr>
        <w:t>E. 7.1.3</w:t>
      </w:r>
    </w:p>
    <w:p>
      <w:r>
        <w:t>Es ist zu betonen, dass die Einreihung in eine Klasse und Unterklasse nur der erste Schritt zur Prämienbemessung ist (vgl. E. 6.2 hiervor). Die von der Vorinstanz im Rahmen ihres grossen Ermessensspielraums getroffene Regelung erweist sich jedenfalls als sachgerecht und angemessen. Folglich hat das Bundesverwaltungsgericht diese zu respektieren (vgl. E. 3.2 hiervor), selbst wenn andere Lösungen denkbar wären, wie z.B. die von der Beschwerdeführerin verlangte Aufteilung der Tätigkeit der Chauffeure (wobei dies zweifellos zu einem erheblichen administrativen Mehraufwand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Vorinstanz für die Beschwerdeführerin verwendete Formular, welches zur Erfassung der Betriebsmerkmale nach vordefinierten Kriterien zwischen (1.) branchenüblichen, (2.) branchennahen, (3.) administrativen/kaufmännischen sowie (4.) zusätzliche Tätigkeiten unterscheidet, zweifellos auf das Profil von Handelsunternehmen zugeschnitten ist. Dies ist aufgrund der Auflistung der Tätigkeiten unter der ersten Rubrik «branchenübliche Tätigkeiten» klar ersichtlich, welche den in der Klassenumschreibung 52A (Handels- und Lagerbetriebe) genannten Tätigkeiten entsprechen (vgl. Suva-act. 99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Beschwerdeführerin eine Ungleichbehandlung der Betriebe des Brenn- und Treibstoffhandels gegenüber Betrieben aus anderen Handelsbranchen erkennen will, entgegen der impliziten Behauptung nicht um ein auf Handelsbetriebe (vorliegend der Baumaterial- oder Metallbranche) zugeschnittenes Formular. Aus der Umschreibung der branchenüblichen sowie branchennahen Tätigkeiten geht eindeutig hervor, dass das Formular offensichtlich auf Betriebe zugeschnitten ist, welche schwerpunktmässig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www.suva.ch/de-ch/versicherung/loehne-und-praemien/praemien, zuletzt besucht am 23. Juni 2022). Aufgrund des Formulars ist es offensichtlich, dass das adressierte Unternehmen grundsätzlich kein Handelsunternehmen ist, sondern schwerpunktmässig der Plattenleger-Branche angehört. Daran ändert der Umstand nichts, dass das namentlich nicht genannte Unternehmen nebst Wand- und Bodenplattenlegerarbeiten offenbar auch Handel mit Bauwerkstoffen betreibt (vgl. Seite 1 der eingereichten Betriebsbeschreibung). Dies gilt umso weniger, als die Ausübung des Handels an sich noch nichts darüber aussagt, ob das betroffene Unternehmen die Handelsgüter (Bauwerkstoffe) - wie in casu die Beschwerdeführerin - mit eigenem Personal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Beschwerdeführerin kann demzufolge aus dem eingereichten Formular, welches offensichtlich an einen Wand- und Bodenplattenleger-Betrieb adressiert wurde, nichts zu ihren Gunsten ableiten.</w:t>
      </w:r>
    </w:p>
    <w:p>
      <w:r>
        <w:rPr>
          <w:b/>
        </w:rPr>
        <w:t>E. 7.2.2</w:t>
      </w:r>
    </w:p>
    <w:p>
      <w:r>
        <w:t>Wie bereits dargelegt, fallen Strassentransporte bei Handelsbetrieben der Mineralölbranche infolge der durchgeführten und vom Suva-Rat per 1. Januar 2019 in Kraft gesetzten Tarifrevision der Klasse 52A nicht mehr unter die branchenüblichen Handelstätigkeiten, sondern werden seither unter der Rubrik «branchennahe Tätigkeiten» erfasst. Dass die Beschwerdeführerin nicht der Risikogemeinschaft 52A zugeteilt wurde, ist in casu schlicht dem Umstand geschuldet, dass der Anteil der branchenüblichen Tätigkeit von Lager- Umschlagsarbeiten von Brenn und Treibstoffen bei der Beschwerdeführerin - wie bereits festgestellt (E. 7.1.2 hiervor) - mit 7 % wesentlich geringer ausfällt als derjenige des Strassentransports von Gütern mit 26 %. In diesem Zusammenhang ist überdies darauf hinzuweisen, dass bereits vor der Tarifrevision der Klasse 52A im Formular für Handelsunternehmen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15. November 2010 [Suva-act. 4 S. 2]). Darauf weist auch die Vorinstanz im Rahmen ihrer Duplik vom 27. Juli 2020 ausdrücklich hin (vgl. BVGer-act. 13 S. 3 zweiter Absatz). Das heisst, Firmen aus anderen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haben kann. Das heisst, bis Ende 2018 wurde bei Handelsunternehmen der Mineralölbranche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Metallhalbzeughandel),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Unterklassenteils wie auch innerhalb der Klasse zu gewährleisten, muss somit auch bei Handelsunternehmen der Mineralölbranche der Strassentransport separat erfasst werden.</w:t>
      </w:r>
    </w:p>
    <w:p>
      <w:r>
        <w:rPr>
          <w:b/>
        </w:rPr>
        <w:t>E. 7.3</w:t>
      </w:r>
    </w:p>
    <w:p>
      <w:r>
        <w:t>Schliesslich zielt auch die implizite Berufung auf den Vertrauensschutz von Anfang an ins Leere. Wie bereits ausgeführt (vgl. E. 5.3.2 hiervor), hat die Vorinstanz im Rahmen der mit dem Rechtsvertreter der Beschwerdeführerin geführten E-Mail-Korrespondenz vom 16., 17. und 21. Juli 2018, auf welche sich die Beschwerdeführerin zum Beweis ihrer Behauptung beruft, unmissverständlich festgehalten,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Diese unmissverständliche Auskunft scheint der Rechtsvertreter übersehen zu haben (vgl. letzten Absatz seiner Antwort vom 21. Juli 2018 auf die E-Mail der Vorinstanz vom 17. Juli 2018 [Beschwerdedossier C-1753/2019, BVGer-act. 1 Beilage 3 S. 1]). Zwar hat die Vorinstanz im Rahmen dieser Korrespondenz auch ein gewisses Verständnis für die Argumentation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hingewiesen, dass hierzu zuerst eine vertiefte Datenanalyse vorgenommen werden müsse und im Weiteren entsprechende Auswirkungen einer Änderung auf die anderen Kollektive geprüft werden müssten. Ebenso hat sie unmissverständlich darauf hingewiesen, dass Änderungen der Tarife und Zuweisungsregeln eine Anhörung der betroffenen Arbeitgeber- und Arbeitnehmerorganisationen bedingten und erst durch einen Beschluss des Suva-Rates umgesetzt werden dürften, was eine gewisse Zeit benötige. Nach dem Dargelegten kann in den Aussagen der Vorinstanz keine Zusicherung erblickt werden, was jedoch Voraussetzung wäre, um sich überhaupt auf den Vertrauensschutz berufen zu können. Somit erweist sich einerseits der replicando geltend gemachte Einwand, dass seit der Inkraftsetzung des Prämientarifs 2019 bereits wieder eineinhalb Jahre vergangen seien, als unbehelflich. Andererseits ändert auch die von der Vorinstanz gegenüber dem Bundesverwaltungsgericht in den beiden von der Beschwerdeführerin genannten Beschwerdeverfahren getätigte Aussage, die betroffenen Betriebe nach den «dannzumal geltenden Einreihungsregeln und der Klassenstruktur» einzureihen, nichts am Ergebnis. Entgegen der von der Beschwerdeführerin offenbar vertretenen Ansicht bedeutet «dannzumal» gemäss Duden «dann, in jenem Augenblick» (wobei es sich hierbei um einen schweizerischen Ausdruck handelt, vgl. www.duden.de). Das heisst, die Vorinstanz hat mit jener Formulierung nichts Anderes zum Ausdruck gebracht, als dass sie für die Prämieneinreihung im Jahr 2019 die ab 1. Januar 2019 geltenden, neuen Regeln anwenden werde. Dass die verfügte Einreihung dabei bereits im September 2018 (recte: am 19. Oktober 2018) erfolgte, ist dem Umstand geschuldet, dass die Versicherer die Erhöhungen des Nettoprämiensatzes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Betriebsbeschreibung es ermöglicht, der Beschaffenheit der Unternehmen Rechnung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Erfassung der verschiedenen Tätigkeiten trägt den unterschiedlichen Unfallrisiken, die diese Tätigkeiten mit sich bringen, Rechnung. Daher orientiert sich die Einstufung durch die Suva an der Art des Unternehmens und seinen spezifischen Merkmalen, insbesondere dem Unfallrisiko und dem Stand der Präventionsmaßnahmen im Sinne des Art. 92 Abs. 2 UVG (vgl. auch Urteil C-6233/2016 vom 25. März 2022 E. 8.3.1). Entgegen der Ansicht der Beschwerdeführerin (vgl. Klammerbemerkung in der Beschwerdeschrift vom 11. April 2019 [Beschwerdedossier C-1753/2019,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dritten Schritt die unter Berücksichtigung der gesammelten Risikoerfahrungen des Betriebs erfolgende Berechnung der Nettoprämiensätze erhöht die Übereinstimmung des Tarifs mit dem Unfallrisiko des betreffenden Unternehmens (Urteil C-6233/2016 E. 8.3.4 zweiter Absatz). Demzufolge wurde die Beschwerdeführerin - entgegen ihrer Behauptung - nicht nach undifferenzierten Kriterien eingereiht.</w:t>
      </w:r>
    </w:p>
    <w:p>
      <w:r>
        <w:rPr>
          <w:b/>
        </w:rPr>
        <w:t>E. 7.5</w:t>
      </w:r>
    </w:p>
    <w:p>
      <w:r>
        <w:t>Schliesslich sei daran erinnert, dass eine Tarifbestimmung nicht isoliert analysiert werden darf (vgl. E. 3.4 hiervor). Auch wenn - wie im vorliegenden Fall - die Zuordnung eines Unternehmens zu einer Klasse unkorrekt erscheinen mag, da sie nicht seine sich aus dem Handelsregister ergebende vorherrschende Geschäftstätigkeit respektive Branchenzugehörigkeit (in casu Brenn- und Treibstoffhandel) widerspiegelt, erweist sie sich vorliegend in Anbetracht der Gesamtheit der Umstände als gerechtfertigt. Die Suva hat, wie bereits ausgeführt, diesbezüglich einen weiten Ermessensspielraum (vgl. E. 3.4 hiervor; vgl. Urteil des BGer 8C_707/2021 vom 17. März 2022 E. 6.2.3; vgl. auch Urteil des BVGer C-6233/2016 vom 25. März 2022 E. 8.3.4 zweiter Absatz in fine).</w:t>
      </w:r>
    </w:p>
    <w:p>
      <w:r>
        <w:rPr>
          <w:b/>
        </w:rPr>
        <w:t>E. 7.6</w:t>
      </w:r>
    </w:p>
    <w:p>
      <w:r>
        <w:t>Als Zwischenergebnis ist aufgrund des soeben Ausgeführten festzuhalten, dass die Beschwerdeführerin nicht substanziiert dargelegt hat, dass die Vorinstanz innerhalb des ihr offenstehenden weiten Ermessensspielraums (vgl. E. 3.4 hiervor) durch die Zuteilung des Betriebes der Beschwerdeführerin in die Risikogemeinschaft 49A, Unterklasse D0, das Prinzip der Risikogerechtigkeit verletzt habe. Ebenso wenig hat sie dargelegt, inwiefern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Unterklasse L0), hätte eingereiht werden müssen. Dass in die Klasse 52A andere Betriebe eingereiht wären, welche über identische Merkmalsanteile wie ihr Betrieb verfügen, macht sie jedenfalls nicht geltend. Die risikogerechte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Risikogemeinschaften selbsttragend sein muss. Für die risikogerechte Prämienabstufung werden aus mehreren Risikoeinheiten, die sich hinsichtlich ihrer Verhältnisse vergleichen lassen (Betriebe bzw. Betriebsteile im Sinne von Art. 92 Abs. 2 UVG und Art. 113 Abs. 1 UVV), Risikogemeinschaften gebildet (vgl. Urteil des BGer 8C_707/2021 vom 17. März 2022 E. 6.2.3 mit weiteren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Prämienerhöhung sei unverhältnismässig. Somit sind im Folgenden die Berechnungen der Vorinstanz einer Prüfung zu unterziehen.</w:t>
      </w:r>
    </w:p>
    <w:p>
      <w:r>
        <w:rPr>
          <w:b/>
        </w:rPr>
        <w:t>E. 8.1</w:t>
      </w:r>
    </w:p>
    <w:p>
      <w:r>
        <w:t>Wie bereits dargelegt, hat die Suva beim Betrieb der Beschwerdeführerin den Strassentransport (mit 26 %) zu Recht als bestimmendes Betriebsmerkmal qualifiziert (E. 7.6 hiervor). In Bezug auf die weiteren bei der Beschwerdeführerin vorliegenden besonderen Betriebsmerkmale, welche zwar für die Zuteilung zur Risikogemeinschaft eines Betriebes nicht ausschlaggebend sind, jedoch den im Anhang 5 des Prämientarifs angegebenen Anteil an der Gesamtlohnsumme überschreiten, hat die Vorinstanz im angefochtenen Einspracheentscheid vom 12. März 2019 erklärt, dass diese gemäss Art. 24 Abs. 1 bis 1ter des Prämientarifs berücksichtigt würden.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53 % Administration den entsprechenden Schwellwert (von 30 %) überschreitet. Implizit hat die Vorinstanz sodann die bei der Beschwerdeführerin ebenfalls vorhandenen besonderen Betriebsmerkmale «Lager- und Umschlagsarbeiten: Betreiben des eigenen Tanklagers» von 7 % sowie «Tankrevisionsarbeiten» von 14 %» als nicht relevant betrachtet, da diese eindeutig den gewerblichen Schwellwert von 15 % unterschreiten. Soweit sind die Ausführungen der Vorinstanz im Einspracheentscheid nicht zu beanstanden.</w:t>
      </w:r>
    </w:p>
    <w:p>
      <w:r>
        <w:rPr>
          <w:b/>
        </w:rPr>
        <w:t>E. 8.2</w:t>
      </w:r>
    </w:p>
    <w:p>
      <w:r>
        <w:t>Für das Ausmass, in welchem die besonderen Betriebsmerkmale einer Risikogemeinschaft zu berücksichtigen sind, sieht Art. 24 Abs. 1bis des Prämientarifs vor, dass sich dieses aus dem den Schwellwert überschreitenden Anteil, multipliziert mit dem Faktor 100, dividiert durch 100 minus den Schwellwert, berechnet. Gestützt darauf hat die Vorinstanz den zu berücksichtigenden Anteil besonderes Betriebsmerkmal (BBM) der von der Beschwerdeführerin betriebenen Bürotätigkeiten (Klasse 60F C0) korrekt mit gerundet 32,9 % (der von der Beschwerdeführerin betriebene Büroanteil von 53 % überschreitet zu 23 % den entsprechenden Schwellwert von 30 %; dies ergibt folgende Berechnung: 23 % x 100 / [100 - 30 %] = 32,86 %) angegeben.</w:t>
      </w:r>
    </w:p>
    <w:p>
      <w:r>
        <w:rPr>
          <w:b/>
        </w:rPr>
        <w:t>E. 8.3</w:t>
      </w:r>
    </w:p>
    <w:p>
      <w:r>
        <w:t>Anschliessend ist die Vorinstanz gemäss Art. 24 Abs. 1ter des Prämientarifs verfahren. Hiernach werden Anteile von Betriebsmerkmalen, welche nicht zu einer Berücksichtigung nach Abs. 1 und 1bis führen, proportional auf die zugeteilte Risikogemeinschaft und die Anteile der Risikogemeinschaften der besonderen Betriebsmerkmale verteilt, welche für die Bestimmung des Basissatzes massgebend sind und gewerblichen Charakter haben; in Fussnote Nr. 33 des Prämientarifs werden zur Veranschaulichung die entsprechenden Berechnungsformeln wiedergegeben. Zur Berechnung der Verteilung hat die Vorinstanz zunächst den verbleibenden Restanteil korrekt auf 41,1 % (100 % - 26 % [Strassentransport] - 32,9 % [Bürotätigkeiten]) festgelegt. Diesen Restanteil hat die Vorinstanz daraufhin - da in casu keine weiteren Betriebsmerkmale mit gewerblichem Charakter, welche die in Anhang 5 genannte Schwelle von 15 % überschreiten, vorhanden sind - der (gewerblichen) Hauptzuweisung, mithin der Risikogemeinschaft 49A (Strassentransporte) zugeteilt. Dies ergab für die Risikogemeinschaft 49A einen Restanteil von 67,1 % (26 % + 41,1 %). Der Gesamtanteil der gewerblichen Risikogemeinschaft 49A D0 erhöht sich damit auf gerundet 67 %. Jener der - nicht gewerblichen (vgl. den oben wiedergegebenen Wortlaut von Art. 24 Abs. 1ter des Prämientarifs) - Büroklasse 60F C0 blieb hingegen unverändert bei 32,9 %, respektive gerundet 33 %. Dieses Vorgehen erweist sich ebenfalls als tarifkonform und ist nicht zu beanstanden.</w:t>
      </w:r>
    </w:p>
    <w:p>
      <w:r>
        <w:rPr>
          <w:b/>
        </w:rPr>
        <w:t>E. 8.4</w:t>
      </w:r>
    </w:p>
    <w:p>
      <w:r>
        <w:t>Gestützt auf Art. 24 Abs. 2 des Prämientarifs errechnete die Vorinstanz sodann den sich aus den einzelnen Basissätzen der verschiedenen Risikogemeinschaften ergebenden Mischsatz für den Betrieb der Beschwerdeführerin. Danach setzt sich der Basissatz aus dem prozentualen Anteil Basissatz der zugeteilten Risikogemeinschaft und den prozentualen Anteilen der letzten verfügbaren Basissätze der Risikogemeinschaften der besonderen Betriebsmerkmale zusammen. Dieser Mischsatz wird auf den am nächsten liegenden Nettosatz im Suva-Grundtarif gerundet. Diese Basis-sätze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Betriebsmerkmale von 67 % Strassentransport und 33 % Bürotätigkeiten resultierte in der BUV ein Mischsatz von gerundet 1,8133 % (67 % von 2,63 % + 33 % von 0,1552 %), der - gemäss Art. 24 Abs. 2 des Prämientarifs auf den nächstliegenden Nettosatz gerundet - einen Prämiensatz von 1,78 % (Stufe 93)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Betriebsmerkmale resultierte in der NBUV sodann ein Mischsatz von 1,46155 % (67 % von 1,78 % + 33 % von 0,815 %), der gemäss Art. 24 Abs. 2 des Prämientarifs auf den nächstliegenden Nettosatz gerundet einen Prämiensatz von 1,464 % (Stufe 89)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Risikogemeinschaften (vgl. auch die Berechnungsformel in Fussnote Nr. 25). Allerdings beträgt die Beobachtungsdauer im Jahr 2019 aufgrund der Übergangsbestimmung Art. 53 Abs. 6 des Prämientarifs 7 Jahre. Die Vorinstanz ermittelte gestützt auf die der Beobachtungsperiode 2011 bis 2017 zugrundeliegenden Daten, welche von der Beschwerdeführerin nicht in Abrede gestellt werden, eine Basisprämie von Fr. (...) in der BUV und von Fr. (...) in der NBUV (vgl. hierzu die Tabelle im angefochtenen Einspracheentscheid vom 12. März 2019 S. 5 [Suva-act. 123]).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Basissatz respektive Mischsatz an (vgl. Art. 22 Abs. 1 i.V.m. Art. 53 Abs. 7 des Prämientarifs).</w:t>
      </w:r>
    </w:p>
    <w:p>
      <w:r>
        <w:rPr>
          <w:b/>
        </w:rPr>
        <w:t>E. 8.6</w:t>
      </w:r>
    </w:p>
    <w:p>
      <w:r>
        <w:t>Entsprechend den soeben zitierten Grenzwerten wird der Betrieb der Beschwerdeführerin in der NBUV zum Basissatz eingereiht. Der Nettoprämiensatz der Risikoeinheit entspricht dem ihrem Bedarf am nächsten liegenden Nettosatz des Suva-Grundtarifs, der aufgrund des vorangehend errechneten Mischsatzes 1,464 % (Stufe 89) entspricht (vgl. E. 8.4 hiervor).</w:t>
      </w:r>
    </w:p>
    <w:p>
      <w:r>
        <w:rPr>
          <w:b/>
        </w:rPr>
        <w:t>E. 8.7.1</w:t>
      </w:r>
    </w:p>
    <w:p>
      <w:r>
        <w:t>In Bezug auf das in casu in der BUV anwendbare Bonus-Malus-System gab die Vorinstanz ferner Art. 37 des Prämientarifs wieder, wonach im Bonus-Malus-System für die Prämienbemessung die individuellen Risikoerfahrungen der Risikoeinheiten mitberücksichtigt werden. Die Kredibilität ist das Ausmass für die Mitberücksichtigung der individuellen Risikoerfahrungen (Abs. 1). Die Kredibilität berechnet sich aus der Basisprämie dividiert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Rückstellungen (Abs. 4). Der Aufwand aus Regressfällen und regressverdächtigen Fällen bleibt unberücksichtigt. Ausgenommen sind Unfälle und Berufskrankheiten,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Bonus oder Malus, der zum Basissatz der Risikogemeinschaft oder zum Mischsatz addiert oder von diesem abgezogen wird. Daraus ergibt sich der Bedarfssatz der Risikoeinheit (Abs. 7). Der Nettoprämiensatz der Risikoeinheit entspricht dem ihrem Bedarfssatz am nächsten liegenden Nettosatz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Beschwerdeführerin beschwerde- respektive replikweise nicht in Frage gestellten, im Grundlagenblatt BUV 2019 vom 19. Oktober 2018 (SUVA-act. 114 S. 6) enthaltenen Angaben basieren. Insbesondere ermittelte die Vorinstanz in Anwendung der Formel für das Bonus-Malus-System eine Kredibilität des Betriebs von gerundet 37,48 % ({...} [vgl. Art. 37 Abs. 2 des Prämientarifs sowie Formel in der Fussnote Nr. 40]). Anschliessend ermittelte die Vorinstanz den Aufwand sowie den BMS-relevanten Aufwand (entspricht der Summe aus dem Aufwand und den Abzügen [vgl. Erläuterungen zum Grundlagenblatt 2019; Suva-act. 148 S. 7 Ziff. 2.3]) des Betriebs und der Risikogemeinschaft, wobei die Werte der Risikogemeinschaft auf die Grösse des Betriebs der Beschwerdeführerin skaliert wurden. In casu beträgt der Aufwand des Betriebs Fr. (...) und der BMS-relevante Aufwand des Betriebs Fr. (...) (Art. 37 Abs. 5 des Prämientarifs; vgl. Ziff. 2.1 und 2.3 Grundlagenblatt BUV 2019 [SUVA-act. 114 S. 6]); der auf die Grösse des Betriebs umgerechnete Aufwand sowie der BMS-relevante Aufwand der Risikogemeinschaft betragen Fr. (...) resp. Fr. (...). Ausgehend von diesen Werten berechnete die Vorinstanz einerseits die Schadenquote der Risikogemeinschaft, und andererseits die BMS-relevanten Schadenquoten des Betriebs wie auch der Risikogemeinschaft, die allesamt zur Berechnung des Bonus/Malus dienen. Die von der Vorinstanz ermittelten BMS-relevanten Schadenquoten des Betriebs von 29,5891 % (Fr. {...} [BMS-Aufwand des Betriebs] dividiert durch Fr. {...} [Basisprämie]) und der Risikogemeinschaft von 63,2909 % (Fr. {...} [BMS-Aufwand der Risikogemeinschaft] dividiert durch Fr. {...} [Basisprämie]) sowie die Schadenquote der Risikogemeinschaft von 83,1817 % (Fr. {...} [Aufwand der Risikogemeinschaft] dividiert durch Fr. {...} [Basisprämie]) erweisen sich als korrekt (vgl. die hierzu benötigten Berechnungsformeln in Fussnote Nr. 41 des Prämientarifs sowie die Erläuterungen samt benötigten Angaben im Einspracheentscheid vom 12. März 2019 [Suva-act. 123 S. 5-8]). Schliesslich berechnete die Vorinstanz den Bonus/Malus (vgl. die Berechnungsformel in der Fussnote Nr. 41 des Prämientarifs) und ermittelte dabei zutreffend einen Bonus von 0,2754 %. Den Bedarfssatz berechnete sie auf 1,5379 %, indem sie den ermittelten Bonus von 0,2754 % vom vorangehend errechneten Mischsatz von 1,8133 % (vgl. E. 8.4 hiervor) abzog. Grundsätzlich entspricht der Nettoprämiensatz der Risikoeinheit in der BUV dem ihrem Bedarfssatz am nächsten liegenden Nettosatz des Suva-Grundtarifs (Art. 37 Abs. 8 Prämientarif), vorliegend demzufolge der Stufe 90 mit einem Nettosatz von 1,538 %.</w:t>
      </w:r>
    </w:p>
    <w:p>
      <w:r>
        <w:rPr>
          <w:b/>
        </w:rPr>
        <w:t>E. 8.8</w:t>
      </w:r>
    </w:p>
    <w:p>
      <w:r>
        <w:t>Indessen sieht der Prämientarif in Art. 45 eine Begrenzung der jährlichen Prämienänderung vor, wobei diesbezüglich in casu zusätzlich die Übergangsbestimmung von Art. 53 Abs. 10 beachtlich ist. Im angefochtenen Einspracheentscheid vom 12. März 2019 hat die Vorinstanz die vorliegend zu beachtenden Grundsätze der Begrenzung der jährlichen Prämienänderung gemäss Prämientarif äusserst verkürzt wiedergegeben, so dass die von ihr in casu ermittelten Nettoprämiensätze in der BUV und NBUV je von 1,395 % (Stufe 88) von einem Laien nur knapp nachvollzogen werden kann. Mit Vernehmlassung vom 7. Mai 2020 sowie mit Duplik vom 27. Juli 2020 hat sie die entsprechenden Grundsätze der Begrenzung der jährlichen Prämienänderung im Zusammenhang mit der Rüge der Beschwerdeführerin, die Prämienerhöhungen seien nicht verhältnismässig, ausführlicher und somit auch für den Laien verständlich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BVGer-act. 7 S. 6 und 13 S. 3 f.).</w:t>
      </w:r>
    </w:p>
    <w:p>
      <w:r>
        <w:rPr>
          <w:b/>
        </w:rPr>
        <w:t>E. 8.8.1</w:t>
      </w:r>
    </w:p>
    <w:p>
      <w:r>
        <w:t>In casu entspricht der massgebende Basissatz (Mischsatz) in der BUV der Stufe 93 (vgl. E. 8.4 hiervor). Die maximal zulässige jährliche Prämienänderung in der BUV beträgt in diesem Fall zwei Stufen (vgl. Art. 45 Abs. 3 i.V.m. Art. 53 Abs. 10 des Prämientarifs). Im Zusammenhang mit der Begrenzung der jährlichen Prämienerhöhung ist auch Art. 45 Abs. 7 des Prämientarifs zu beachten, der wie folgt lautet: Beträgt die Differenz zwischen dem Nettoprämiensatz und dem Prämienbedarf mehr als das Doppelte der maximal zulässigen jährlichen Prämienänderung gemäss Abs. 1 bis 4 (des Art. 45), dann beträgt die maximal zulässige jährliche Prämienänderung die Hälfte der Differenz, jedoch maximal zwölf Stufen pro Jahr. Der Prämienbedarf der Beschwerdeführerin entspricht ab 1. Januar 2019 in der BUV 1,538 % und somit der Stufe 90 (E. 8.7.2 hiervor). Im Weiteren war die Beschwerdeführerin im Jahr 2018 in der BUV in Stufe 86 (Nettoprämiensatz von 1,265 %) eingereiht (vgl. Wiedererwägungsentscheid vom 30. Oktober 2018 [Suva-act. 115]), weshalb die Differenz zwischen dem Nettoprämiensatz und dem vorliegend ermittelten Prämienbedarf der Beschwerdeführerin vier Stufen beträgt. Art. 45 Abs. 7 des Prämientarifs gelangt demzufolge vorliegend nicht zur Anwendung (für ein Anwendungsbeispiel vgl. Urteil des BVGer C-1754/2019 vom 2. Juni 2022 E. 8.8.1). Nach den soeben dargelegten Regeln hat die Suva zutreffend eine Prämienerhöhung um zwei Stufen vorgenommen, was der verfügten Stufe 88 mit einem Nettoprämiensatz von 1,395 % entspricht. Die sich daraus ergebende Prämienerhöhung beträgt rund 10,28 % ([1,395 % - 1,265 %] x 100 / 1,265 %).</w:t>
      </w:r>
    </w:p>
    <w:p>
      <w:r>
        <w:rPr>
          <w:b/>
        </w:rPr>
        <w:t>E. 8.8.2</w:t>
      </w:r>
    </w:p>
    <w:p>
      <w:r>
        <w:t>In der NBUV entspricht der massgebende Basissatz (Mischsatz) der Stufe 89 (vgl. E. 8.4 hiervor). Die maximal zulässige jährliche Prämienänderung beträgt in diesem Fall grundsätzlich zwei Stufen (vgl. Art. 45 Abs. 3 i.V.m. Art. 53 Abs. 10 des Prämientarifs). Die Beschwerdeführerin war im Jahr 2018 in der NBUV in Stufe 86 (Nettoprämiensatz von 1,265 %) eingereiht (vgl. Wiedererwägungsverfügung vom 30. Oktober 2018 [Suva-act. 115]) und ihr Prämienbedarf beträgt gemäss massgebendem Basissatz (Mischsatz) 1,464 %, entsprechend der Stufe 89. Aufgrund der Differenz von drei Stufen erweist sich nach den eingangsbeschriebenen Regeln die von der Vorinstanz verfügte Prämienerhöhung in der NBUV um zwei Stufen auf Stufe 88 (Nettoprämiensatz 1,395 %) ebenfalls als korrekt. Die sich daraus ergebende Prämienerhöhung beträgt ebenfalls rund 10,28 % ([1,395 % - 1,265 %] x 100 / 1,265 %).</w:t>
      </w:r>
    </w:p>
    <w:p>
      <w:r>
        <w:rPr>
          <w:b/>
        </w:rPr>
        <w:t>E. 8.9</w:t>
      </w:r>
    </w:p>
    <w:p>
      <w:r>
        <w:t>Zu prüfen bleibt die Verhältnismässigkeit der Erhöhung des Nettoprämiensatzes in der BUV und in der NBUV je um 10,28 % von 2018 auf 2019.</w:t>
      </w:r>
    </w:p>
    <w:p>
      <w:r>
        <w:rPr>
          <w:b/>
        </w:rPr>
        <w:t>E. 8.9.1</w:t>
      </w:r>
    </w:p>
    <w:p>
      <w:r>
        <w:t>Nach der Rechtsprechung zur Verhältnismässigkeit einer Prämienerhöhung, welche sich auf die Zulässigkeit einer jährlichen Erhöhung bezieht,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8.9.2</w:t>
      </w:r>
    </w:p>
    <w:p>
      <w:r>
        <w:t>Vorliegend wurden die Nettoprämiensätze in der BUV und NBUV von 1,265 % (Stufe 86) im Jahr 2018 per 1. Januar 2019 auf 1,395 % (Stufe 88) angehoben. Massgebend ist diese jährliche Prämienerhöhung um zwei Stufen bzw. 10,28 % in der BUV und NBUV, mit welcher die Bedarfssätze des Betriebes von 1,538 % (Stufe 90) in der BUV bzw. von 1,464 % (Stufe 89) in der NBUV noch nicht erreicht sind, und was gemäss Prämientarif zulässig ist. Die jährliche Erhöhung von vorliegend 10,28 % kann im Lichte der vorstehend zitierten Rechtsprechung - entgegen der Ansicht der Beschwerdeführerin - nicht als unverhältnismässig oder willkürlich bezeichnet werden. Es bleibt zu erwähnen, dass die Beschwerdeführerin nach der Neueinreihung in den Prämientarif 2019 immer noch fünf Stufen unter der dem ermittelten Basissatz (Mischsatz) entsprechenden massgebenden Stufe (93) in der BUV und immer noch eine Stufe (Stufe 89) unter dem massgebenden Basissatz (Mischsatz) eingereiht ist und ein im Vergleich zu gleichartigen Betrieben zu tiefer Prämiensatz grundsätzlich im Widerspruch steht zum Prinzip der Risikogerechtigkeit bzw. dem Gleichbehandlungsgebot, weshalb innert nützlicher Frist eine schrittweise Anpassung an den risikogerechten Prämiensatz der Risikogemeinschaft, in welche die Beschwerdeführerin erst per 1. Januar 2019 neu eingereiht wurde, zu erfolgen hat (vgl. auch Urteile des BVGer C-319/2009 vom 29. Mai 2012 E. 5.3.3 und C-919/2008 vom 24. März 2010 E. 6.5.2). Die Erhöhung der BUV- und NBUV-Prämiensätze auf 1,395 % ist daher rechtens.</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ebenfalls keinen Anspruch auf eine Parteientschädigung (Art. 7 Abs. 1 VGKE e contrario).</w:t>
      </w:r>
    </w:p>
    <w:p>
      <w:r>
        <w:rPr>
          <w:b/>
        </w:rPr>
        <w:t>E. 11</w:t>
      </w:r>
    </w:p>
    <w:p>
      <w:r>
        <w:t>Januar 2017 verfahren ist und die Beschwerdeführerin ankündigungs- gemäss – allerdings voreilig (vgl. Begründung der Wiedererwägungsverfü- gung vom 30. Oktober 2018 [Suva-act. 115]) sowie E-Mail des Bereichslei- ters der Suva vom 17. Juli 2018 [Beschwerdedossier C-1753/2019, BVGer-act. 1 Beilage 3 S. 2 1. Absatz der Aufzählung resp. BVGer-act. 11 Beilage 1 S. 1 1. Absatz der Aufzählung]) – in die Klasse 49A (Strassen- transporte), Unterklassenteil D0 (Strassentransport von Gütern), eingereiht hat (vgl. Suva-act. 105). Die Beschwerdeführerin hatte somit bereits da- mals sowohl nach Erhalt des Vorbescheids vom 11. Januar 2017 als auch</w:t>
      </w:r>
    </w:p>
    <w:p>
      <w:r>
        <w:t>C-1647/2020 Seite 19 nach Erhalt der Einreihungsverfügung vom 18. August 2017 Gelegenheit erhalten, sich zur Neueinreihung zu äussern, was sie nachweislich und un- bestritten nicht getan hat. 5.3.2 Bezüglich des Vorwurfs der fehlenden Begründung ist im Weiteren festzuhalten, dass in der Verfügung vom 18. August 2017 (Suva-act. 105)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 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 porttätigkeiten nicht mehr unter dem Betriebsmerkmal Brenn- und Treib- stoffhandel aufgeführt würden und die entsprechenden Betriebsbeschrei- 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 führt worden und dabei der Strassentransport in die Klasse 49A ausgela- gert worden sei. Schliesslich hat sie ausgeführt, dass die entsprechende Tarifrevision der Klasse 52A erst per 1. Januar 2019 in Kraft treten werde, weshalb die mit Einreihungsverfügung vom 18. August 2017 vorgenom- mene Neueinreihung voreilig erfolgt sei; folglich werde die Verfügung vom 18. August 2017 in Wiedererwägung gezogen sowie für das Jahr 2018 auf die Zuteilung zur Klasse 49A verzichtet (Suva-act. 115). Ebenso wenig lässt sich aufgrund der E-Mail-Korrespondenz vom 16., 17. und 21. Juli 2018 zwischen dem Rechtsvertreter der Beschwerdeführerin und dem zu- ständigen Bereichsleiter der Vorinstanz ein intransparentes Vorgehen der Suva begründen. Denn der zuständige Bereichsleiter hat unmissverständ- lich klargestellt, dass die im Jahr 2018 verfrüht angewandte Zuweisungs- 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Schliesslich kann</w:t>
      </w:r>
    </w:p>
    <w:p>
      <w:r>
        <w:t>C-1647/2020 Seite 20 der Vorinstanz auch in Bezug auf den vorliegend angefochtenen Ein- spracheentscheid vom 12. März 2019 nicht eine mangelnde Begründung vorgeworfen werden, enthält der Entscheid doch entgegen der Behaup- tung der Beschwerdeführerin Erläuterungen zur Klassenstruktur, Klassen- zuteilung, den besonderen Betriebsverhältnissen sowie insbesondere zum vorliegend anwendbaren Prämienmodell und der Berechnung des Bo- nus/Malus (vgl. Suva-act. 123). Bezüglich des Vorwurfs der fehlenden Nachvollziehbarkeit legt die Beschwerdeführerin denn auch nicht substan- ziiert dar, inwiefern es dem Einspracheentscheid – insbesondere auch in Bezug auf die Prämienbemessung – an einer nachvollziehbaren Begrün- dung mangelt, sondern rügt lediglich, dass die Ausführungen der Vor- instanz auf Seite 6 in den Absätzen 2 und 3 der Vernehmlassung vom 7. Mai 2020 nicht nachvollzogen werden könnten. Damit rügt die Be- schwerdeführerin effektiv nicht eine unzureichende Begründung des ange- fochtenen Einspracheentscheids, sondern eine unzureichende Begrün- 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 hältnismässig erweist, ist im Rahmen der materiellen Beurteilung zu prüfen (vgl. hierzu E. 8 hiernach). 5.3.3 Aufgrund des insgesamt Ausgeführten ist keine Verletzung des recht- lichen Gehörs (respektive der Begründungspflicht) auszumachen. Darüber hinaus hat sich die Vorinstanz in ihrer Vernehmlassung und Duplik auch zu den von der Beschwerdeführerin im vorliegenden Beschwerdeverfahren vorgebrachten Rügen geäussert. 6. 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w:t>
      </w:r>
    </w:p>
    <w:p>
      <w:r>
        <w:t>C-1647/2020 Seite 21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26 %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15</w:t>
      </w:r>
    </w:p>
    <w:p>
      <w:r>
        <w:t>% unterschreiten. Soweit sind die Ausführungen der Vorinstanz im Ein- spracheentscheid nicht zu beanstanden.</w:t>
      </w:r>
    </w:p>
    <w:p>
      <w:r>
        <w:t>C-1647/2020 Seite 34 8.2 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gerundet 32,9 % (der von der Beschwerdeführerin betriebene Büroanteil von 53 % überschreitet zu 23 % den entsprechenden Schwellwert von 30 %; dies ergibt folgende Berechnung: 23 % x 100 / [100 - 30 %] = 32,86 %) angegeben. 8.3 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41,1 % (100 % – 26 % [Strassentransport] – 32,9 %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67,1 % (26 % + 41,1 %). Der Ge- samtanteil der gewerblichen Risikogemeinschaft 49A D0 erhöht sich damit auf gerundet 67 %. Jener der – nicht gewerblichen (vgl. den oben wieder- gegebenen Wortlaut von Art. 24 Abs. 1ter des Prämientarifs) – Büroklasse 60F C0 blieb hingegen unverändert bei 32,9 %, respektive gerundet 33 %. Dieses Vorgehen erweist sich ebenfalls als tarifkonform und ist nicht zu beanstanden. 8.4 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w:t>
      </w:r>
    </w:p>
    <w:p>
      <w:r>
        <w:t>C-1647/2020 Seite 35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67 % Strassentransport und 33 % Bürotätigkeiten resultierte in der BUV ein Mischsatz von gerundet 1,8133 % (67 % von 2,63 % + 33 % von 0,1552 %), der – gemäss Art. 24 Abs. 2 des Prämientarifs auf den nächstliegenden Nettosatz gerundet – einen Prämiensatz von 1,78 % (Stufe 93)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1,46155 % (67 % von 1,78 % + 33 % von 0,815 %), der gemäss Art. 24 Abs. 2 des Prämien- tarifs auf den nächstliegenden Nettosatz gerundet einen Prämiensatz von 1,464 % (Stufe 89) ergab. Beide (auf Tarifstufe gerundete) Mischsätze sind nicht zu beanstanden. 8.5 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w:t>
      </w:r>
    </w:p>
    <w:p>
      <w:r>
        <w:t>C-1647/2020 Seite 36 in der NBUV (vgl. hierzu die Tabelle im angefochtenen Einspracheent- scheid vom 12. März 2019 S. 5 [Suva-act. 123]). Gemäss der Übergangs- bestimmung in Art. 53 Abs. 7 des Prämientarifs liegen im Jahr 2019 die Grenzen für den Eintritt in das Bonus-Malus-System gemäss Art. 21 Bst. c und Art. 22 Abs. 1 bei einer Basisprämie von Fr. 35'000.- in der BUV und Fr. 420'000.- in der NBUV. Die Grenze für den Eintritt in die Erfahrungsta- 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 8.6 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1,464 % (Stufe 89) entspricht (vgl. E. 8.4 hier- vor). 8.7 8.7.1 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w:t>
      </w:r>
    </w:p>
    <w:p>
      <w:r>
        <w:t>C-1647/2020 Seite 37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 8.7.2 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19. Oktober 2018 (SUVA-act. 114 S. 6) enthaltenen Angaben basieren. Insbesondere ermittelte die Vorinstanz in Anwendung der Formel für das Bonus-Malus-System eine Kredibilität des Betriebs von gerundet 37,48 % ({…} [vgl. Art. 37 Abs. 2 des Prämientarifs sowie Formel in der Fussnote Nr. 40]). Anschliessend ermittelte die Vor- instanz den Aufwand sowie den BMS-relevanten Aufwand (entspricht der Summe aus dem Aufwand und den Abzügen [vgl. Erläuterungen zum Grundlagenblatt 2019; Suva-act. 148 S. 7 Ziff. 2.3]) des Betriebs und der Risikogemeinschaft, wobei die Werte der Risikogemeinschaft auf die Grösse des Betriebs der Beschwerdeführerin skaliert wurden. In casu be- trägt der Aufwand des Betriebs Fr. (…) und der BMS-relevante Aufwand des Betriebs Fr. (…) (Art. 37 Abs. 5 des Prämientarifs; vgl. Ziff. 2.1 und 2.3 Grundlagenblatt BUV 2019 [SUVA-act. 114 S. 6]); der auf die Grösse des Betriebs umgerechnete Aufwand sowie der BMS-relevante Aufwand der Risikogemeinschaft betragen Fr. (…) resp. Fr. (…). Ausgehend von diesen Werten berechnete die Vorinstanz einerseits die Schadenquote der Risiko- gemeinschaft, und andererseits die BMS-relevanten Schadenquoten des Betriebs wie auch der Risikogemeinschaft, die allesamt zur Berechnung des Bonus/Malus dienen. Die von der Vorinstanz ermittelten BMS-relevan- ten Schadenquoten des Betriebs von 29,5891 % (Fr. {…} [BMS-Aufwand des Betriebs] dividiert durch Fr. {…} [Basisprämie]) und der Risikogemein- schaft von 63,2909 % (Fr. {…} [BMS-Aufwand der Risikogemeinschaft] di- vidiert durch Fr. {…} [Basisprämie]) sowie die Schadenquote der Risikoge- meinschaft von 83,1817 % (Fr. {…} [Aufwand der Risikogemeinschaft] di- vidiert durch Fr. {…} [Basisprämie]) erweisen sich als korrekt (vgl. die hierzu benötigten Berechnungsformeln in Fussnote Nr. 41 des Prämienta- rifs sowie die Erläuterungen samt benötigten Angaben im Einspracheent- scheid vom 12. März 2019 [Suva-act. 123 S. 5-8]). Schliesslich berechnete</w:t>
      </w:r>
    </w:p>
    <w:p>
      <w:r>
        <w:t>C-1647/2020 Seite 38 die Vorinstanz den Bonus/Malus (vgl. die Berechnungsformel in der Fuss- note Nr. 41 des Prämientarifs) und ermittelte dabei zutreffend einen Bonus von 0,2754 %. Den Bedarfssatz berechnete sie auf 1,5379 %, indem sie den ermittelten Bonus von 0,2754 % vom vorangehend errechneten Misch- satz von 1,8133 % (vgl. E. 8.4 hiervor) abzog. Grundsätzlich entspricht der Nettoprämiensatz der Risikoeinheit in der BUV dem ihrem Bedarfssatz am nächsten liegenden Nettosatz des Suva-Grundtarifs (Art. 37 Abs. 8 Prämi- entarif), vorliegend demzufolge der Stufe 90 mit einem Nettosatz von 1,538 %. 8.8 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die von ihr in casu ermittelten Nettoprämiensätze in der BUV und NBUV je von 1,395 % (Stufe 88) von einem Laien nur knapp nachvollzogen werden kann. Mit Vernehmlassung vom 7. Mai 2020 sowie mit Duplik vom 27. Juli 2020 hat sie die entsprechenden Grundsätze der Begrenzung der jährli- chen Prämienänderung im Zusammenhang mit der Rüge der Beschwerde- führerin, die Prämienerhöhungen seien nicht verhältnismässig, ausführli- cher und somit auch für den Laien verständlich dargelegt. Insbesondere hat sie in diesem Zusammenhang darauf hingewiesen, dass die Regeln gemäss Art. 45 des Prämientarifs infolge der Einführung von Änderungen bei der Prämienbemessung per 1. Januar 2019 durch die Übergangsbe- stimmung Art. 53 Abs. 10 des Prämientarifs (weiter) gemildert wurden (vgl. BVGer-act. 7 S. 6 und 13 S. 3 f.). 8.8.1 In casu entspricht der massgebende Basissatz (Mischsatz) in der BUV der Stufe 93 (vgl. E. 8.4 hiervor). Die maximal zulässige jährliche Prä- mienänderung in der BUV beträgt in diesem Fall zwei Stufen (vgl. Art. 45 Abs. 3 i.V.m. Art. 53 Abs. 10 des Prämientarifs). Im Zusammenhang mit der Begrenzung der jährlichen Prämienerhöhung ist auch Art. 45 Abs. 7 des Prämientarifs zu beachten, der wie folgt lautet: Beträgt die Differenz zwi- schen dem Nettoprämiensatz und dem Prämienbedarf mehr als das Dop- pelte der maximal zulässigen jährlichen Prämienänderung gemäss Abs. 1 bis 4 (des Art. 45), dann beträgt die maximal zulässige jährliche Prämien- änderung die Hälfte der Differenz, jedoch maximal zwölf Stufen pro Jahr. Der Prämienbedarf der Beschwerdeführerin entspricht ab 1. Januar 2019 in der BUV 1,538 % und somit der Stufe 90 (E. 8.7.2 hiervor). Im Weiteren</w:t>
      </w:r>
    </w:p>
    <w:p>
      <w:r>
        <w:t>C-1647/2020 Seite 39 war die Beschwerdeführerin im Jahr 2018 in der BUV in Stufe 86 (Nettoprä- miensatz von 1,265 %) eingereiht (vgl. Wiedererwägungsentscheid vom 30. Oktober 2018 [Suva-act. 115]), weshalb die Differenz zwischen dem Nettoprämiensatz und dem vorliegend ermittelten Prämienbedarf der Be- schwerdeführerin vier Stufen beträgt. Art. 45 Abs. 7 des Prämientarifs ge- langt demzufolge vorliegend nicht zur Anwendung (für ein Anwendungsbei- spiel vgl. Urteil des BVGer C-1754/2019 vom 2. Juni 2022 E. 8.8.1). Nach den soeben dargelegten Regeln hat die Suva zutreffend eine Prämiener- höhung um zwei Stufen vorgenommen, was der verfügten Stufe 88 mit ei- nem Nettoprämiensatz von 1,395 % entspricht. Die sich daraus ergebende Prämienerhöhung beträgt rund 10,28 % ([1,395 % – 1,265 %] x 100 / 1,265 %). 8.8.2 In der NBUV entspricht der massgebende Basissatz (Mischsatz) der Stufe 89 (vgl. E. 8.4 hiervor). Die maximal zulässige jährliche Prämienän- derung beträgt in diesem Fall grundsätzlich zwei Stufen (vgl. Art. 45 Abs. 3 i.V.m. Art. 53 Abs. 10 des Prämientarifs). Die Beschwerdeführerin war im Jahr 2018 in der NBUV in Stufe 86 (Nettoprämiensatz von 1,265 %) einge- reiht (vgl. Wiedererwägungsverfügung vom 30. Oktober 2018 [Suva- act. 115]) und ihr Prämienbedarf beträgt gemäss massgebendem Basis- satz (Mischsatz) 1,464 %, entsprechend der Stufe 89. Aufgrund der Diffe- renz von drei Stufen erweist sich nach den eingangsbeschriebenen Regeln die von der Vorinstanz verfügte Prämienerhöhung in der NBUV um zwei Stufen auf Stufe 88 (Nettoprämiensatz 1,395 %) ebenfalls als korrekt. Die sich daraus ergebende Prämienerhöhung beträgt ebenfalls rund 10,28 % ([1,395 % – 1,265 %] x 100 / 1,265 %). 8.9 Zu prüfen bleibt die Verhältnismässigkeit der Erhöhung des Nettoprä- miensatzes in der BUV und in der NBUV je um 10,28 % von 2018 auf 2019. 8.9.1 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w:t>
      </w:r>
    </w:p>
    <w:p>
      <w:r>
        <w:t>C-1647/2020 Seite 40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 8.9.2 Vorliegend wurden die Nettoprämiensätze in der BUV und NBUV von 1,265 % (Stufe 86) im Jahr 2018 per 1. Januar 2019 auf 1,395 % (Stufe 88) angehoben. Massgebend ist diese jährliche Prämienerhöhung um zwei Stufen bzw. 10,28 % in der BUV und NBUV, mit welcher die Bedarfssätze des Betriebes von 1,538 % (Stufe 90) in der BUV bzw. von 1,464 % (Stufe 89) in der NBUV noch nicht erreicht sind, und was gemäss Prämientarif zulässig ist. Die jährliche Erhöhung von vorliegend 10,28 % kann im Lichte der vorstehend zitierten Rechtsprechung – entgegen der Ansicht der Be- schwerdeführerin – nicht als unverhältnismässig oder willkürlich bezeich- net werden. Es bleibt zu erwähnen, dass die Beschwerdeführerin nach der Neueinreihung in den Prämientarif 2019 immer noch fünf Stufen unter der dem ermittelten Basissatz (Mischsatz) entsprechenden massgebenden Stufe (93) in der BUV und immer noch eine Stufe (Stufe 89) unter dem massgebenden Basissatz (Mischsatz) eingereiht ist und ein im Vergleich zu gleichartigen Betrieben zu tiefer Prämiensatz grundsätzlich im Wider- spruch steht zum Prinzip der Risikogerechtigkeit bzw. dem Gleichbehand- lungsgebot, weshalb innert nützlicher Frist eine schrittweise Anpassung an den risikogerechten Prämiensatz der Risikogemeinschaft, in welche die Beschwerdeführerin erst per 1. Januar 2019 neu eingereiht wurde, zu er- folgen hat (vgl. auch Urteile des BVGer C-319/2009 vom 29. Mai 2012 E. 5.3.3 und C-919/2008 vom 24. März 2010 E. 6.5.2). Die Erhöhung der BUV- und NBUV-Prämiensätze auf 1,395 %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w:t>
      </w:r>
    </w:p>
    <w:p>
      <w:r>
        <w:t>C-1647/2020 Seite 41 andererseits die verfügten Nettoprämien in der BUV und NBUV richtig be- rechnet hat. Die Beschwerde vom 11. April 2019 ist daher abzuweisen und der angefochtene Einspracheentscheid vom 12.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