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C-1642/2022 vom 7. Oktober 2020</w:t>
      </w:r>
    </w:p>
    <w:p>
      <w:r>
        <w:t>Bundesverwaltungsgericht, 2020-10-07, DE</w:t>
      </w:r>
    </w:p>
    <w:p>
      <w:r>
        <w:rPr>
          <w:b/>
        </w:rPr>
        <w:t xml:space="preserve">Quelle: </w:t>
      </w:r>
      <w:r>
        <w:t>https://mcp.opencaselaw.ch/entscheid/bvger_C-1642_2022_d20201007</w:t>
      </w:r>
    </w:p>
    <w:p>
      <w:r>
        <w:t>FR: TAF C-1642/2022 du 7 octobre 2020</w:t>
      </w:r>
    </w:p>
    <w:p>
      <w:r>
        <w:t>IT: TAF C-1642/2022 del 7 ottobre 2020</w:t>
      </w:r>
    </w:p>
    <w:p>
      <w:pPr>
        <w:pStyle w:val="Heading2"/>
      </w:pPr>
      <w:r>
        <w:t>Regeste</w:t>
      </w:r>
    </w:p>
    <w:p>
      <w:r>
        <w:t>Invalidenversicherung (&amp;Uuml;briges) | Invalidenversicherung, Kinderrenten, Verfügung der IVSTA vom 7. Oktober 2020, Revisionsgesuch nach Art. 66 Abs. 2 lit. b VwVG vom 6. April 2022</w:t>
      </w:r>
    </w:p>
    <w:p>
      <w:pPr>
        <w:pStyle w:val="Heading2"/>
      </w:pPr>
      <w:r>
        <w:t>Erwägungen</w:t>
      </w:r>
    </w:p>
    <w:p>
      <w:r>
        <w:rPr>
          <w:b/>
        </w:rPr>
        <w:t>E. 1</w:t>
      </w:r>
    </w:p>
    <w:p>
      <w:r>
        <w:t>Das Revisionsgesuch wird gutgeheissen und Dispositiv-Ziff. 3 und 4 des Urteils des BVGer C-165/2021 vom 25. März 2022 werden aufgehoben.</w:t>
      </w:r>
    </w:p>
    <w:p>
      <w:r>
        <w:rPr>
          <w:b/>
        </w:rPr>
        <w:t>E. 2</w:t>
      </w:r>
    </w:p>
    <w:p>
      <w:r>
        <w:t>Der Gesuchstellerin wird für das Verfahren C-165/2021 eine Parteientschädigung von Fr. 2'673.90 und dem Gesuchsgegner eine solche von Fr. 2'926.50 zulasten der Vorinstanz zugesprochen.</w:t>
      </w:r>
    </w:p>
    <w:p>
      <w:r>
        <w:rPr>
          <w:b/>
        </w:rPr>
        <w:t>E. 3</w:t>
      </w:r>
    </w:p>
    <w:p>
      <w:r>
        <w:t>Für das Revisionsverfahren werden keine Kosten erhoben.</w:t>
      </w:r>
    </w:p>
    <w:p>
      <w:r>
        <w:rPr>
          <w:b/>
        </w:rPr>
        <w:t>E. 4</w:t>
      </w:r>
    </w:p>
    <w:p>
      <w:r>
        <w:t>Für das Revisionsverfahren werden der Gesuchstellerin Fr. 340.70 und dem Gesuchsgegner Fr. 323.95 aus der Gerichtskasse ausgerichtet.</w:t>
      </w:r>
    </w:p>
    <w:p>
      <w:r>
        <w:rPr>
          <w:b/>
        </w:rPr>
        <w:t>E. 5</w:t>
      </w:r>
    </w:p>
    <w:p>
      <w:r>
        <w:t>Dieses Urteil geht an die Gesuchstellerin, den Gesuchsgegner, die Vorinstanz und das BSV. Der vorsitzende Richter: Der Gerichtsschreiber: David Weiss Roland Hochreutener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