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C-1639/2014 vom 28. August 2014</w:t>
      </w:r>
    </w:p>
    <w:p>
      <w:r>
        <w:t>Bundesverwaltungsgericht, 2014-08-28, DE</w:t>
      </w:r>
    </w:p>
    <w:p>
      <w:r>
        <w:rPr>
          <w:b/>
        </w:rPr>
        <w:t xml:space="preserve">Quelle: </w:t>
      </w:r>
      <w:r>
        <w:t>https://mcp.opencaselaw.ch/entscheid/bvger_C-1639_2014</w:t>
      </w:r>
    </w:p>
    <w:p>
      <w:r>
        <w:t>FR: TAF C-1639/2014 du 28 août 2014</w:t>
      </w:r>
    </w:p>
    <w:p>
      <w:r>
        <w:t>IT: TAF C-1639/2014 del 28 agosto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Die Beschwerdeführenden sind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2013/33 E. 2 mit Hinweisen).</w:t>
      </w:r>
    </w:p>
    <w:p>
      <w:r>
        <w:rPr>
          <w:b/>
        </w:rPr>
        <w:t>E. 3</w:t>
      </w:r>
    </w:p>
    <w:p>
      <w:r>
        <w:t>Der angefochtenen Verfügung liegt das Gesuch einer ukrainischen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Urteil des BVGer C 4524/2012 vom 11. März 2014 E. 4.1.5 [zur Publikation vorgesehen]).</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Vissakodex der Gemeinschaft [Visakodex] [nachfolgend: Visakodex], ABl. L 243/1 vom 15.09.2009; vgl. zum Personenkreis: Art. 2 Ziff. 5 und Ziff. 6 SGK).</w:t>
      </w:r>
    </w:p>
    <w:p>
      <w:r>
        <w:rPr>
          <w:b/>
        </w:rPr>
        <w:t>E. 5.2</w:t>
      </w:r>
    </w:p>
    <w:p>
      <w:r>
        <w:t>Sind - abgesehen vom Visum selbst - die Voraussetzungen für die rechtmässige Einreise nicht erfüllt, darf ein für den gesamten Schengen-Raum geltendes "einheitliches Visums"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w:t>
      </w:r>
    </w:p>
    <w:p>
      <w:r>
        <w:rPr>
          <w:b/>
        </w:rPr>
        <w:t>E. 5.3</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die Ukraine in dieser Liste aufgeführt ist, unterliegt die Gesuchstellerin der Visumspflicht.</w:t>
      </w:r>
    </w:p>
    <w:p>
      <w:r>
        <w:rPr>
          <w:b/>
        </w:rPr>
        <w:t>E. 6.1</w:t>
      </w:r>
    </w:p>
    <w:p>
      <w:r>
        <w:t>Die Vorinstanz begründet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6.2.1</w:t>
      </w:r>
    </w:p>
    <w:p>
      <w:r>
        <w:t>Die Ukraine befindet sich zur Zeit in einer sehr schwierigen Situation. Nach zunächst friedlichen Protesten in Kiew und anderen Städten gegen den Entscheid der Regierung, die Verhandlungen über das Assoziierungs-Abkommen mit der EU auszusetzen, kam es ab Dezember 2013 immer wieder zu gewalttätigen Ausschreitungen. Seit Mitte Februar 2014 wurden zahlreiche Menschen getötet oder verletzt. Im März 2014 wurde dann die Halbinsel Krim von Russland annektiert. Pro-russische Separatisten begannen Mitte März, Verwaltungsgebäude in den Regionen Donetsk und Luhansk zu besetzen und riefen schliesslich die Volksrepubliken Donetsk und Luhansk aus. Seither ist die Situation in der Ost-Ukraine militärisch eskaliert. In den anderen Teilen der Ukraine blieb es weitgehend ruhig (Quellen: Reisehinweise des Departements für Auswärtige Angelegenheiten: www.eda.admin.ch sowie des Deutschen Auswärtigen Amts unter www.auswaertiges-amt.de; www.reliefweb.int &gt; Countries &gt; Ukraine; Neue Zürcher Zeitung www.nzz.ch &gt; International &gt; Dossiers &gt; Pulverfass Ukraine. Alle Websites abgerufen im August 2014).</w:t>
      </w:r>
    </w:p>
    <w:p>
      <w:r>
        <w:rPr>
          <w:b/>
        </w:rPr>
        <w:t>E. 6.2.2</w:t>
      </w:r>
    </w:p>
    <w:p>
      <w:r>
        <w:t>Angesichts der geschilderten Umstände ist nicht zu beanstanden, dass die Vorinstanz zur Zeit das Risiko einer nicht fristgerechten Wiederausreise von Besuchern aus der Ukraine allgemein als hoch einschätzt, insbesondere, wenn durch die Anwesenheit von Bekannten oder Verwandten bereits ein minimales soziales Beziehungsnetz besteht und wenn die betroffene Person aus bzw. aus der Nähe der von den Unruhen betroffenen Regionen kommt.</w:t>
      </w:r>
    </w:p>
    <w:p>
      <w:r>
        <w:rPr>
          <w:b/>
        </w:rPr>
        <w:t>E. 6.3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6.3.1</w:t>
      </w:r>
    </w:p>
    <w:p>
      <w:r>
        <w:t>Die Gesuchstellerin ist 23 Jahre alt, ledig und lebt in Cherson. Aus den Einträgen in ihrem "Arbeitsbuch" geht hervor, dass sie vom 23. August bis 6. Dezember 2011 als Verkäuferin, vom 28. Januar 2012 bis zum 27. Juni 2013 als "Wirtschaftlerin der ersten Kategorie" und vom 4. November bis 5. Dezember 2013 wiederum als Verkäuferin angestellt war. Sie hielt sich schon zweimal zu Besuchsaufenthalten in der Schweiz auf, nämlich vom 18. - 29. Dezember 2012 und vom 3. August - 1. Sep­tember 2013.</w:t>
      </w:r>
    </w:p>
    <w:p>
      <w:r>
        <w:rPr>
          <w:b/>
        </w:rPr>
        <w:t>E. 6.3.2</w:t>
      </w:r>
    </w:p>
    <w:p>
      <w:r>
        <w:t>Aus diesen spärlichen Angaben gehen keinerlei Verpflichtungen familiärer, sozialer oder beruflicher Art hervor, welche die Gesuchstellerin nachhaltig an einer Emigration hindern könnte. Zugunsten einer Rückkehr spricht allerdings auf den ersten Blick der Umstand, dass die Gesuchstellerin nach zwei bewilligten Einreisen jeweils fristgerecht wieder ausgereist ist. An ihrer persönlichen Situation hat sich - soweit ersichtlich - seither nichts geändert. Es darf jedoch nicht ausser Acht gelassen werden, dass während des Besuchs 2013 ein Gesuch um Verlängerung des Visums bis Mitte November 2013 gestellt wurde, damit die Gesuchstellerin "vorerst mal drei Monate" einen Deutsch-Intensivkurs besuchen kann. Die Sprachkenntnisse sollten ihr nach Angaben der Beschwerdeführenden die Möglichkeiten für ein Studium in der Schweiz öffnen und ihre beruflichen Perspektiven verbessern. Aus den Unterlagen geht hervor, dass es wohl nicht bei diesem einen Verlängerungsgesuch geblieben wäre, war der Kurs doch vom 30. September 2013 bis 28. März 2014, also für 6 Monate, vorgesehen. Das Migrations­amt wies das Gesuch mit der Begründung ab, dass der Kursbesuch nicht durch das für einen Familienbesuch ausgestellte Visum gedeckt und das Gesuch überdies nicht rechtzeitig eingegangen sei. Das vorliegend zu beurteilende Gesuch soll einen Aufenthalt von 3 Monaten ermöglichen und sowohl dem Besuch der Familie als auch der Absolvierung eines Deutschkurses dienen. Angesichts der Vorgeschichte und dem Umstand, dass die maximale Aufenthaltsdauer von 90 Tagen angestrebt wird, ist davon auszugehen, dass die Ausbildung im Vordergrund steht. Die Bedenken der Vorinstanz und auch des Migrationsamts bezüglich des eigentlichen Aufenthaltszwecks und damit auch die Befürchtungen, dass die Wiederausreise nicht gesichert ist, sind nicht zu beanstanden.</w:t>
      </w:r>
    </w:p>
    <w:p>
      <w:r>
        <w:rPr>
          <w:b/>
        </w:rPr>
        <w:t>E. 6.4</w:t>
      </w:r>
    </w:p>
    <w:p>
      <w:r>
        <w:t>Zusammenfassend kann festgestellt werden, dass in Bezug auf die anstandslose Wiederausreise der Gesuchstellerin keine günstige Prognose gestellt werden kann. Diese Beurteilung basiert vornehmlich auf den Umständen im Zusammenhang mit dem Aufenthalt 2013 in der Schweiz und den fehlenden beruflichen, sozialen und/oder familiären Verpflichtungen der Gesuchstellerin in ihrer Heimat. Gewisse Vorbehalte ergeben sich zudem aus der unübersichtlichen Lage in der Ukraine, auch wenn die Region, aus der die Gesuchstellerin stammt - soweit ersichtlich - nicht direkt von den Unruhen betroffen ist. An dieser Einschätzung vermögen auch die gegenteiligen Zusicherungen der Beschwerdeführenden und die Erfahrungen mit anderen Besuchern aus der Ukraine nichts zu ändern, ist vorliegend doch eine Prognose in Bezug auf das zukünftige Verhalten der Gesuchstellerin zu stellen. Dieses Verhalten kann jedoch von den Beschwerdeführenden nur beschränkt beeinflusst werden; aus dem Verhalten anderer Gäste hingegen ergeben sich keinerlei Erkenntnisse bezüglich des zu erwartenden Verhaltens der Gesuchstellerin (vgl. BVGE 2009/27 E. 9).</w:t>
      </w:r>
    </w:p>
    <w:p>
      <w:r>
        <w:rPr>
          <w:b/>
        </w:rPr>
        <w:t>E. 7</w:t>
      </w:r>
    </w:p>
    <w:p>
      <w:r>
        <w:t>Die angefochtene Verfügung ist demnach im Lichte von Art. 49 VwVG nicht zu beanstanden. Die Beschwerde ist daher abzuweisen.</w:t>
      </w:r>
    </w:p>
    <w:p>
      <w:r>
        <w:rPr>
          <w:b/>
        </w:rPr>
        <w:t>E. 8</w:t>
      </w:r>
    </w:p>
    <w:p>
      <w:r>
        <w:t>Bei diesem Ausgang des Verfahrens sind die Kosten der Beschwerdeführerin aufzuerlegen (vgl. Art. 63 Abs. 1 VwVG i.V.m. Art. 1 ff. des Reglements vom 21. Februar 2008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