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C-1639/2012 vom 9. Dezember 2013</w:t>
      </w:r>
    </w:p>
    <w:p>
      <w:r>
        <w:t>Bundesverwaltungsgericht, 2013-12-09, DE</w:t>
      </w:r>
    </w:p>
    <w:p>
      <w:r>
        <w:rPr>
          <w:b/>
        </w:rPr>
        <w:t xml:space="preserve">Quelle: </w:t>
      </w:r>
      <w:r>
        <w:t>https://mcp.opencaselaw.ch/entscheid/bvger_C-1639_2012</w:t>
      </w:r>
    </w:p>
    <w:p>
      <w:r>
        <w:t>FR: TAF C-1639/2012 du 9 décembre 2013</w:t>
      </w:r>
    </w:p>
    <w:p>
      <w:r>
        <w:t>IT: TAF C-1639/2012 del 9 dicembre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zur Beschwerde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(Ulrich Häfelin/Georg Müller/Felix Uhlmann, Allgemeines Verwaltungsrecht, 6. vollständig überarbeitete Aufl., Zürich / St. Gallen 2010, Rz. 337 ff.).</w:t>
      </w:r>
    </w:p>
    <w:p>
      <w:r>
        <w:rPr>
          <w:b/>
        </w:rPr>
        <w:t>E. 4.1</w:t>
      </w:r>
    </w:p>
    <w:p>
      <w:r>
        <w:t>Das Einreiseverbot gestützt auf Art. 67 Abs. 2 AuG (in der seit dem 1. Januar 2011 gültigen Fassung, zum Ganzen vgl. BBl 2009 8881 und AS 2010 5925)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4.2</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Gestützt auf die Umstände des Einzelfalls ist eine Prognose zu stellen. Dabei ist naturgemäss in erster Linie das vergangene Verhalten der betroffenen Person zu berücksichtigen (vgl. Urteil des BVGer C 820/2009 vom 9. März 2011 E. 5.2 mit Hinweisen).</w:t>
      </w:r>
    </w:p>
    <w:p>
      <w:r>
        <w:rPr>
          <w:b/>
        </w:rPr>
        <w:t>E. 4.3</w:t>
      </w:r>
    </w:p>
    <w:p>
      <w:r>
        <w:t>In einem Verfahren betr. Bewilligungswiderruf hat das Bundesgericht in grundlegender Weise eine ausgefällte Freiheitsstrafe von mehr als einem Jahr als eine - einen Widerrufsgrund nach Art. 62 Bst. b erster Satzteil AuG darstellende - "längerfristige Freiheitsstrafe" qualifiziert (vgl. BGE 137 II 297 E. 2 S. 299 ff.). A fortiori kann im Zusammenhang mit der Verhängung einer Fernhaltemassnahme an diese Rechtsprechung angeknüpft werden bzw. eine solche Freiheitsstrafe im Rahmen der zu stellenden Prognose gewürdigt werden.</w:t>
      </w:r>
    </w:p>
    <w:p>
      <w:r>
        <w:rPr>
          <w:b/>
        </w:rPr>
        <w:t>E. 4.4</w:t>
      </w:r>
    </w:p>
    <w:p>
      <w:r>
        <w:t>Mit Blick auf die Betäubungsmitteldelinquenz der Beschwerdeführerin gilt es des Weiteren zu berücksichtigen, dass schwere Widerhandlungen gegen das BetmG nebst Gewalt- und Sexualdelikten zu den Verhaltensweisen gehören, die besonders hochrangige Rechtsgüter betreffen und die daher aus präventivpolizeilicher Sicht einen strengen Beurteilungsmassstab rechtfertigen (BGE 131 II 352 E. 4.3.1 S. 359 f. und BGE 125 II 521 E. 4a/aa S. 526 f.; Urteil des Bundesgerichts 2A.308/2004 vom 4. Oktober 2004 E. 3.3; Alain Wurzburger, La jurisprudence récente du Tribunal fédéral en matière de police des étrangers, in: RDAF 53/1997 I, S. 42). Das bedeutet unter anderem, dass zum Schutz der Rechtsgenossinnen und Rechtsgenossen nur ein geringes Risiko des Rückfalls einer einschlägig vorbestraften Person in Kauf genommen werden darf (vgl. etwa Urteil des BVGer C-4620/2011 vom 12. März 2013 E. 5.3 mit Hinweis). Verurteilungen zu Freiheitsstrafen wegen Drogendelikten sind selbstredend und entgegen der Auffassung des Parteivertreters als Verstoss gegen die öffentliche Sicherheit und Ordnung im Sinne von Art. 67 Abs. 2 Bst. a AuG zu werten und führen in aller Regel - selbst bei lediglich einer Verurteilung - zur Anordnung von (zum Teil langen) Fernhaltemassnahmen (siehe Urteil des BVGer C-4698/2012 vom 6. September 2013 E. 4.4 mit Hinweis).</w:t>
      </w:r>
    </w:p>
    <w:p>
      <w:r>
        <w:rPr>
          <w:b/>
        </w:rPr>
        <w:t>E. 5</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10-11 i.V.m. Art. 52 Abs. 1 SIS-II-VO),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aber die Einreise in das eigene Hoheitsgebiet gestatten bzw. ihr ein Schengen-Visum mit räumlich beschränkter Gültigkeit ausstellen (vgl. Art. 13 Abs. 1 i.V.m. Art. 5 Abs. 4 Bst. c SGK sowie Art. 25 Abs. 1 Bst. a [ii] Visakodex, Abl. L 243 vom 15. September 2009).</w:t>
      </w:r>
    </w:p>
    <w:p>
      <w:r>
        <w:rPr>
          <w:b/>
        </w:rPr>
        <w:t>E. 6</w:t>
      </w:r>
    </w:p>
    <w:p>
      <w:r>
        <w:t>Am 18. Oktober 2007 erklärte das Kreisgericht VII Konolfingen die Beschwerdeführerin schuldig der Geldwäscherei sowie der mehrfachen Widerhandlung gegen das Betäubungsmittelgesetz, mengenmässig qualifiziert, gewerbsmässig sowie zum Teil bandenmässig mit ihrem (damaligen) Ehemann begangen in der Zeit zwischen 2002 und November 2005, durch die Gehilfenschaft zum Kauf einer unbekannten Menge Thaipillen, der Einfuhr von 20'000 Thaipillen sowie dem Verkauf, der Abgabe und dem Anstaltentreffen zum Verkauf von ca. 35'000 Thaipillen. Dieser Schuldspruch erwuchs in Rechtskraft. Das Strafmass unterlag der Anfechtung bis vor Bundesgericht und wurde letztlich rechtskräftig auf eine Freiheitsstrafe von zwei Jahren, unter Gewährung des bedingten Strafvollzugs bei einer Probezeit von zwei Jahren, und zu einer bedingten Geldstrafe von 10 Tagessätzen à Fr. 40.- festgelegt (vgl. Urteil des Obergerichts des Kantons Bern vom 31. August 2010 sowie Bst. B des Sachverhalts). Damit wurde die Grenze zur längerfristigen Freiheitsstrafe gemäss Art. 62 Bst. b AuG deutlich überschritten (vgl. Urteil des Bundesgerichts 2C_778/2011 vom 24. Februar 2012 E. 3.1 mit Hinweisen). Durch ihre Delinquenz hat die Beschwerdeführerin den Fernhaltegrund von Art. 67 Abs. 2 Bst. a AuG erfüllt, weshalb ohne Zweifel hinreichender Anlass für die Verhängung eines Einreiseverbots bestand.</w:t>
      </w:r>
    </w:p>
    <w:p>
      <w:r>
        <w:rPr>
          <w:b/>
        </w:rPr>
        <w:t>E. 7</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7.1</w:t>
      </w:r>
    </w:p>
    <w:p>
      <w:r>
        <w:t>Das Fehlverhalten der Beschwerdeführerin wiegt aus präventivpolizeilicher Sicht schwer (zur Zulässigkeit der Berücksichtigung generalpräventiver Aspekte in Konstellationen, in denen wie hier kein sogenannter Vertragsausländer betroffen ist, vgl. Urteil des Bundesgerichts 2C_282/2012 vom 31. Juli 2012 E. 2.5 mit Hinweisen). Ausländische Straftäter, die durch Verbreitung gefährlicher Drogen die Gesundheit anderer gefährden oder beeinträchtigen, sind nach Möglichkeit von der Schweiz fernzuhalten. Damit soll der weiteren Ausbreitung des verbotenen Handels mit Betäubungsmitteln entgegengewirkt werden. Aufgrund der relativen Häufigkeit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(zur strengen Praxis des Bundesgerichts in diesem Bereich siehe BGE 131 II 352 E. 4.3.1 S. 359 f. mit Hinweis, Urteile des Bundesgerichts 2C_282/2012 vorerwähnt sowie 2C_768/2011 vom 4. Mai 2012 E. 4.3 und 2C_1029/2011 vom 10. April 2012 E. 3.3.1).</w:t>
      </w:r>
    </w:p>
    <w:p>
      <w:r>
        <w:rPr>
          <w:b/>
        </w:rPr>
        <w:t>E. 7.2</w:t>
      </w:r>
    </w:p>
    <w:p>
      <w:r>
        <w:t>Auch in subjektiver Hinsicht ist das Fehlverhalten der Beschwerdeführerin nicht zu bagatellisieren, hat sie doch mit ihrem über drei Jahre dauernden deliktischen Handeln die Gesundheit einer Vielzahl von Menschen gefährdet, wobei die Motivation nach Auffassung der Strafbehörde nicht nur bei ihrem damaligen Ehemann, sondern auch bei ihr in finanziellen Beweggründen zu suchen war. Im Übrigen musste sie sich des gesundheitlichen Schadens, den Drogen anrichten können, sehr wohl bewusst sein, war doch ihr erster Ehemann 2001 an einer Überdosis Heroin gestorben. So wurde denn auch ihr Verschulden - im Rahmen des Verfahrens um Nichtverlängerung der Aufenthaltsbewilligung und Wegweisung - aus fremdenpolizeilicher Sicht als gravierend erachtet (vgl. Urteil des Bundesgerichts 2C_474/2011 vom 22. Dezember 2011 E. 3.1). Nach wie vor stellt die Beschwerdeführerin somit eine schwerwiegende Gefahr für die öffentliche Sicherheit und Ordnung dar, welche fraglos die Verhängung einer Fernhaltemassnahme von einer fünf Jahre überschreitenden Dauer zulässt (vgl. Art. 67 Abs. 3 in fine AuG sowie BGE 139 II 121 E. 6.2 und 6.3 S. 129 ff.).</w:t>
      </w:r>
    </w:p>
    <w:p>
      <w:r>
        <w:rPr>
          <w:b/>
        </w:rPr>
        <w:t>E. 7.3</w:t>
      </w:r>
    </w:p>
    <w:p>
      <w:r>
        <w:t>Soweit der Rechtsvertreter in diesem Zusammenhang einwendet, von seiner Mandantin gehe keine Rückfallgefahr aus, sei ihr doch für ihre Straftaten der bedingte Strafvollzug gewährt worden, gilt es vorerst festzuhalten, dass die fremdenpolizeiliche Rückfallbeurteilung nicht zwingend mit der strafrechtlichen Prognose übereinstimmen muss (vgl. das erwähnte Urteil des Bundesgerichts 2C_474/2011 vom 22. Dezember 2011 E. 3.1). Zudem gilt es darauf hinzuweisen, dass die Strafjustizbehörden bei der Gewährung des bedingten Strafvollzugs durch die Bestimmung einer Probezeit nicht jegliche Rückfallgefahr ausschliessen (vgl. beispielsweise das erwähnte Urteil des BVGer C-4620/2011 vom 12. März 2013 E. 7.3). Auf der andern Seite ist das inzwischen rund achtjährige Wohlverhalten im eben dargelegten Rahmen entsprechend mitzuberücksichtigen. Zugunsten der Beschwerdeführerin dürfte auch der Umstand sprechen, dass sie sich bei ihrem deliktischen Verhalten in einem gewissen Abhängigkeitsverhältnis zu ihrem damaligen Ehemann befunden hatte und ihr von den Strafbehörden eine klar untergeordnete Rolle im Verhältnis zu diesem attestiert wurde.</w:t>
      </w:r>
    </w:p>
    <w:p>
      <w:r>
        <w:rPr>
          <w:b/>
        </w:rPr>
        <w:t>E. 7.4</w:t>
      </w:r>
    </w:p>
    <w:p>
      <w:r>
        <w:t>Eine wertende Gewichtigung der sich entgegenstehenden Interessen führt das Bundesverwaltungsgericht zum Schluss, dass die von der Vorinstanz auf unbestimmte Dauer erlassene Fernhaltemassnahme unangemessen lang erscheint. In Würdigung der gesamten Umstände kann davon ausgegangen werden, dass dem öffentlichen Interesse mit der Beschränkung der Einreisesperre auf die Dauer von zehn Jahren hinreichend Rechnung getragen wird. Demnach ist die angefochtene Verfügung im Grundsatz nach zwar zu bestätigen, aber in ihrer Dauer bis zum 28. Februar 2022 zu befristen. Insoweit ist die Beschwerde teilweise gutzuheissen.</w:t>
      </w:r>
    </w:p>
    <w:p>
      <w:r>
        <w:rPr>
          <w:b/>
        </w:rPr>
        <w:t>E. 8</w:t>
      </w:r>
    </w:p>
    <w:p>
      <w:r>
        <w:t>Die Beschwerdeführerin ist nicht Staatsangehörige eines zum Schengen-Raum gehörigen Staates. Aufgrund der Ausschreibung im SIS ist es ihr untersagt, den Schengen-Raum zu betreten. Der darin liegende Eingriff wird durch die Bedeutung des Falles gerechtfertigt (vgl. Art. 21 i.V.m. Art. 24 Abs. 2 SIS-II-Verordnung).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9</w:t>
      </w:r>
    </w:p>
    <w:p>
      <w:r>
        <w:t>Aus diesen Erwägungen ergibt sich, dass das auf unbestimmte Dauer ausgesprochene Einreiseverbot Bundesrecht verletzt (vgl. Art. 49 VwVG). Die Beschwerde ist daher teilweise gutzuheissen und das gegen die Beschwerdeführerin verhängte Einreiseverbot auf zehn Jahre, bis zum 28. Februar 2022, zu befristen.</w:t>
      </w:r>
    </w:p>
    <w:p>
      <w:r>
        <w:rPr>
          <w:b/>
        </w:rPr>
        <w:t>E. 10</w:t>
      </w:r>
    </w:p>
    <w:p>
      <w:r>
        <w:t>Bei diesem Ausgang sind die ermässigten Verfahrenskosten der Beschwerdeführerin aufzuerlegen und mit dem geleisteten Kostenvorschuss zu verrechnen (vgl. Art. 63 Abs. 1 VwVG i.V.m. Art. 1, Art. 2 und Art. 3 Bst. b des Reglements über die Kosten und Entschädigungen vor dem Bundesverwaltungsgericht vom 21. Februar 2008 [VGKE, SR 173.320.2]). Im Umfang ihres Obsiegens ist der Beschwerdeführerin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