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C-1638/2011 vom 10. August 2012</w:t>
      </w:r>
    </w:p>
    <w:p>
      <w:r>
        <w:t>Bundesverwaltungsgericht, 2012-08-10, DE</w:t>
      </w:r>
    </w:p>
    <w:p>
      <w:r>
        <w:rPr>
          <w:b/>
        </w:rPr>
        <w:t xml:space="preserve">Quelle: </w:t>
      </w:r>
      <w:r>
        <w:t>https://mcp.opencaselaw.ch/entscheid/bvger_C-1638_2011</w:t>
      </w:r>
    </w:p>
    <w:p>
      <w:r>
        <w:t>FR: TAF C-1638/2011 du 10 août 2012</w:t>
      </w:r>
    </w:p>
    <w:p>
      <w:r>
        <w:t>IT: TAF C-1638/2011 del 10 agosto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Beschwerdeführenden sind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Die Vorinstanz hält dem Beschwerdeführer 1 in der angefochtenen Verfügung - wie bereits erwähnt - vor, er habe aus der Schweiz weggewiesen werden müssen, sei seiner Pflicht zur Ausreise nicht nachgekommen und habe sich während rund 14 Monaten illegal im Land aufgehalten.</w:t>
      </w:r>
    </w:p>
    <w:p>
      <w:r>
        <w:rPr>
          <w:b/>
        </w:rPr>
        <w:t>E. 4.1</w:t>
      </w:r>
    </w:p>
    <w:p>
      <w:r>
        <w:t>Mit dem Bundesbeschluss über die Genehmigung und die Umsetzung des Notenaustauschs zwischen der Schweiz und der EG betreffend die Übernahme der EG-Rückführungsrichtlinie (Richtlinie 2008/115/EG) vom 18. Juni 2010 (AS 2010 5925) wurde Art. 67 AuG mit Wirkung per 1. Januar 2011 revidiert, ohne dass Übergangsbestimmungen erlassen worden wären. Diese Rechtsänderung ist vorliegend nur insofern von Relevanz, als dem Beschwerdeführer 1 unter anderem die Nichtbeachtung einer (noch unter der Geltung des alten Rechts) angeordneten Wegweisung vorgehalten wird, und nach dem neuen Recht ein solches Fehlverhalten - unter dem Vorbehalt humanitärer oder anderer wichtiger Gründe nach Art. 67 Abs. 5 AuG - zwingend ein Einreiseverbot nach sich zieht. Das Abstellen auf den neuen Art. 67 Abs. 1 Bst. b AuG wäre in casu eine echte Rückwirkung, die mangels einer hinreichenden gesetzlichen Grundlage unzulässig ist. Ansonsten steht der Anwendung des neuen Rechts - auf das nachfolgend der Einfachheit halber allein Bezug genommen wird - nichts entgegen.</w:t>
      </w:r>
    </w:p>
    <w:p>
      <w:r>
        <w:rPr>
          <w:b/>
        </w:rPr>
        <w:t>E. 4.2</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5.1</w:t>
      </w:r>
    </w:p>
    <w:p>
      <w:r>
        <w:t>Die Verfügung der städtischen Migrationsbehörde Bern vom 17. September 2009, mit der die Aufenthaltsbewilligung nicht erneuert und der Beschwerdeführer 1 zur Ausreise aus der Schweiz aufgefordert wurde, blieb - wie bereits erwähnt - unangefochten und erwuchs demnach in Rechtskraft. Entsprechend wäre der Betroffene verpflichtet gewesen, die Schweiz bis am 18. Dezember 2009 zu verlassen. Sein weiterer Aufenthalt nach Ablauf der gewährten Ausreisefrist war illegal.</w:t>
      </w:r>
    </w:p>
    <w:p>
      <w:r>
        <w:rPr>
          <w:b/>
        </w:rPr>
        <w:t>E. 5.2</w:t>
      </w:r>
    </w:p>
    <w:p>
      <w:r>
        <w:t>Der Beschwerdeführer 1 wendet sinngemäss ein, er habe unmittelbar nach seiner Heirat und dem von seiner Ehefrau zu seinen Gunsten gestellten Familiennachzugsgesuch im November 2010 einen Rechtsanwalt aufgesucht, sei von diesem aber falsch beraten worden. Der Anwalt habe ihm versichert, er könne den Entscheid über das Familiennachzugsgesuch in der Schweiz abwarten. Hätte er sich nicht darauf verlassen und die Schweiz aus eigenen Stücken verlassen, wäre "höchstwahrscheinlich" kein Einreiseverbot gegen ihn verhängt worden.</w:t>
      </w:r>
    </w:p>
    <w:p>
      <w:r>
        <w:rPr>
          <w:b/>
        </w:rPr>
        <w:t>E. 5.3</w:t>
      </w:r>
    </w:p>
    <w:p>
      <w:r>
        <w:t>Der Beschwerdeführer 1 verkennt bei seiner Argumentation, dass sein Aufenthalt in der Schweiz nicht erst durch seinen Verbleib nach Einreichung des Familiennachzugsgesuches im November 2010, sondern schon seit Ablauf der ihm gewährten Ausreisefrist im Dezember 2009 illegal war. Mit seinem rechtswidrigen Verbleib hatte er längst einen Fernhaltegrund gesetzt. Entsprechend kann er aus der angeblich von einem Anwalt erteilten falschen Auskunft nichts für sich ableiten. Es erübrigt sich auch die weitere Prüfung, ob der Beschwerdeführer 1 sich auf eine solche Auskunft überhaupt hätte verlassen dürfen oder nicht vielmehr gehalten gewesen wäre, die zuständige Behörde zu kontaktieren. Im Übrigen hatte der Beschwerdeführer 1 im Strafverfahren eingeräumt, sich wissentlich und willentlich über die angesetzte Ausreisefrist hinweggesetzt und in vollem Bewusstsein um die Illegalität seines Aufenthaltes in der Schweiz verblieben zu sein. Die Strafbehörde sprach ihn denn auch der vorsätzlichen Widerhandlung gegen das Ausländergesetz schuldig.</w:t>
      </w:r>
    </w:p>
    <w:p>
      <w:r>
        <w:rPr>
          <w:b/>
        </w:rPr>
        <w:t>E. 5.4</w:t>
      </w:r>
    </w:p>
    <w:p>
      <w:r>
        <w:t>Mit seinem illegalen Aufenthalt in der Schweiz hat der Beschwerdeführer 1 nach dem bisher Gesagten einen Fernhaltegrund gesetzt. Tritt hinzu, dass er schliesslich auch noch in Ausschaffungshaft genommen wurde (vgl. dazu Art. 67 Abs. 2 Bst. a und c AuG).</w:t>
      </w:r>
    </w:p>
    <w:p>
      <w:r>
        <w:rPr>
          <w:b/>
        </w:rPr>
        <w:t>E. 6</w:t>
      </w:r>
    </w:p>
    <w:p>
      <w:r>
        <w:t>Es bleibt zu prüfen, ob die angeordnete Massnahme in richtiger Aus­übung des Ermessens ergangen und angemessen ist. Dem Grundsatz der Verhältnismässigkeit kommt dabei zentrale Bedeutung zu.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6.1</w:t>
      </w:r>
    </w:p>
    <w:p>
      <w:r>
        <w:t>Das Fehlverhalten des Beschwerdeführers 1 wiegt objektiv nicht leicht, hat er doch die behördliche Aufforderung zur Ausreise willentlich missach­tet und sich während mehr als einem Jahr rechtswidrig in der Schweiz aufgehalten. Damit hat er Normen verletzt, die für das Funktionieren der ausländerrechtlichen Ordnung von zentraler Bedeutung sind. Tritt hinzu, dass dieses Fehlverhalten nicht isoliert dasteht; der Beschwerdeführer 1 musste nach dem bereits Gesagten schon im Juni 2008 wegen illegalen Aufenthalts strafrechtlich zur Rechenschaft gezogen werden und er war nach den unbestritten gebliebenen Erkenntnissen der städtischen Migrationsbehörde Bern später eine Scheinehe mit einer Schweizer Bürgerin eingegangen. Vor diesem Hintergrund ist ein gewichtiges öffentliches Interesse an der zeitlich befristeten Fernhaltung anzunehmen.</w:t>
      </w:r>
    </w:p>
    <w:p>
      <w:r>
        <w:rPr>
          <w:b/>
        </w:rPr>
        <w:t>E. 6.2</w:t>
      </w:r>
    </w:p>
    <w:p>
      <w:r>
        <w:t>Demgegenüber beruft sich der Beschwerdeführer 1 auf seine Ehe mit einer in der Schweiz aufenthaltsberechtigten türkischen Staatsan­gehörigen. Sie hätten die Absicht, hier in der Schweiz ihr Familienle­ben zu verwirklichen. Das angefochtene Einreiseverbot erweise sich des­halb als unverhältnismässig.</w:t>
      </w:r>
    </w:p>
    <w:p>
      <w:r>
        <w:rPr>
          <w:b/>
        </w:rPr>
        <w:t>E. 6.3</w:t>
      </w:r>
    </w:p>
    <w:p>
      <w:r>
        <w:t>Die solchermassen geltend gemachten privaten Interessen an einem Verzicht auf die Fernhaltemassnahme können nicht überwiegen. Der Beschwerdeführer 1 verkennt bei seiner Argumentation, dass die Verwirklichung von Familienleben in der Schweiz nicht erst am aus­gesprochenen Einreiseverbot, sondern schon an der fehlenden Auf­enthaltsregelung scheitert. Entsprechende Interessen wären im Rahmen des - nach Darstellung der Beschwerdeführenden hängigen - Gesuchs um Familiennachzug zu prüfen und könnten je nach Ergebnis zur wiedererwägungsweisen Aufhebung des Einreiseverbots durch die Vorinstanz führen.</w:t>
      </w:r>
    </w:p>
    <w:p>
      <w:r>
        <w:rPr>
          <w:b/>
        </w:rPr>
        <w:t>E. 6.4</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7</w:t>
      </w:r>
    </w:p>
    <w:p>
      <w:r>
        <w:t>Demnach ergibt sich, dass die angefochtene Verfügung Bundesrecht nicht verletzt und den rechtserheblichen Sachverhalt richtig und vollständig feststellt; sie ist auch angemessen (Art. 49 VwVG). Die Be­schwerde ist daher abzuweisen.</w:t>
      </w:r>
    </w:p>
    <w:p>
      <w:r>
        <w:rPr>
          <w:b/>
        </w:rPr>
        <w:t>E. 8</w:t>
      </w:r>
    </w:p>
    <w:p>
      <w:r>
        <w:t>Entsprechend dem Ausgang des Verfahrens haben die Beschwerdeführenden die Kosten zu tragen (Art. 63 Abs. 1 VwVG i.V.m.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