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C-1636/2012 vom 21. Mai 2013</w:t>
      </w:r>
    </w:p>
    <w:p>
      <w:r>
        <w:t>Bundesverwaltungsgericht, 2013-05-21, IT</w:t>
      </w:r>
    </w:p>
    <w:p>
      <w:r>
        <w:rPr>
          <w:b/>
        </w:rPr>
        <w:t xml:space="preserve">Quelle: </w:t>
      </w:r>
      <w:r>
        <w:t>https://mcp.opencaselaw.ch/entscheid/bvger_C-1636_2012</w:t>
      </w:r>
    </w:p>
    <w:p>
      <w:r>
        <w:t>FR: TAF C-1636/2012 du 21 mai 2013</w:t>
      </w:r>
    </w:p>
    <w:p>
      <w:r>
        <w:t>IT: TAF C-1636/2012 del 21 maggio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Tuttavia, il caso in esame rimane regolato, anche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Ciò detto, nella misura in cui l'Accordo, in particolare l'allegato II, non prevede disposizioni contrarie, l'organizzazione della procedura, come pure l'esame delle condizioni di ottenimento di una rendita d'invalidità svizzera, sono regolate dal diritto interno svizzero (DTF 130 V 257 consid. 2.4). Così, per costante giurisprudenza, l'ottenimento di una pensione straniera d'invalidità non pregiudica l'apprezzamento di un'invalidità secondo il diritto svizzero (sentenza del Tribunale federale I 435/02 del 4 febbraio 2003, consid. 2).</w:t>
      </w:r>
    </w:p>
    <w:p>
      <w:r>
        <w:rPr>
          <w:b/>
        </w:rPr>
        <w:t>E. 3.1</w:t>
      </w:r>
    </w:p>
    <w:p>
      <w:r>
        <w:t>L'esame del diritto a prestazioni secondo la LAI è retto dal tenore della stessa al momento della decisione impugnata, ritenuto tuttavia il principio secondo il quale le norme applicabili sono quelle in vigore al momento in cui dei fatti giuridicamente rilevanti si sono verificati (DTF 130 V 445 consid. 1.2). Le disposizioni della 6a revisione della LAI (primo pacchetto di misure), in vigore dal 1° gennaio 2012 (RU 2011 5659; FF 2010 1603), sono dunque applicabili in concreto, come lo sono le disposizioni della LPGA, se e per quanto la LAI lo preveda (art. 2 LPGA).</w:t>
      </w:r>
    </w:p>
    <w:p>
      <w:r>
        <w:rPr>
          <w:b/>
        </w:rPr>
        <w:t>E. 3.2</w:t>
      </w:r>
    </w:p>
    <w:p>
      <w:r>
        <w:t>Il giudice delle assicurazioni sociali analizza la legalità della decisione impugnata, in generale, secondo lo stato di fatto esistente al mo­mento in cui la decisione in lite è stata resa (DTF 130 V citata). Egli può tuttavia tenere conto dei fatti ve­rificatisi dopo la data della decisione impugnata quando essi possono im­porsi quali elementi d'accertamento retrospettivo della situazione ante­riore alla decisione stessa (DTF 130 V 138, vedi anche 121 V 366 consid. 1b, 116 V 248 consid. 1a). Ne discende che, in concreto, il periodo di cognizione di questo Tribunale si estende fino al 6 marzo 2012, data della decisione avversata.</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4.3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4.5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5</w:t>
      </w:r>
    </w:p>
    <w:p>
      <w:r>
        <w:t>Il ricorrente contesta la validità materiale della decisione dell'UAIE, chiedendo che gli sia riconosciuto il diritto ad una mezza rendita d'invalidità anche dopo il 30 aprile 2012.</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OAI,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 revisione ha luogo d'ufficio, a partire dal mese in cui è stata prevista (art. 88bis cpv. 1 lett.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 In concreto, la decisione iniziale è stata pronunciata il 18 dicembre 1993 (incarto UAI-BE) e la decisione di revisione, qui impugnata, è stata emessa il 6 marzo 2012 (incarto UAIE, doc. 71). Con decisioni intercalari intervenute l'11 ottobre 2000 e il 24 maggio 2004 (decisioni materiali), nonché il 21 dicembre 2007 (decisione formale; incarto UAIE, doc. 4 a 29), la prestazione attribuita è sempre stata confermata. Nell'ambito della terza revisione, terminatasi con la decisione del 21 dicembre 2007, l'UAIE ha proceduto ad un esame materiale del grado d'invalidità. Ne consegue che, seguendo la giurisprudenza, il periodo di riferimento per giudicare se verosimilmente è intervenuta una modifica rilevante del grado d'invalidità, tale da giustificare la riduzione della mezza rendita ad un quarto di rendita, come disposto dall'UAIE, è quello tra il 21 dicembre 2007 ed il 6 marzo 2012.</w:t>
      </w:r>
    </w:p>
    <w:p>
      <w:r>
        <w:rPr>
          <w:b/>
        </w:rPr>
        <w:t>E. 8</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9.1</w:t>
      </w:r>
    </w:p>
    <w:p>
      <w:r>
        <w:t>In concreto, secondo le indicazioni all'incarto, il ricorrente ha cessato di lavorare nel 1995, ossia quando è rientrato in Italia, per cui occorre fondarsi sui documenti medici allo scopo di valutare la sua capacità lavorativa (cfr. consid. 4.5).</w:t>
      </w:r>
    </w:p>
    <w:p>
      <w:r>
        <w:rPr>
          <w:b/>
        </w:rPr>
        <w:t>E. 9.2</w:t>
      </w:r>
    </w:p>
    <w:p>
      <w:r>
        <w:t>Dall'insieme della documentazione medica agli atti e, in particolare, dalla perizia particolareggiata E 213 del dott. B._______, medico dell'INPS, del 13 ottobre 2010 (incarto UAIE, doc. 39), dalle perizie dei dottori C._______, reumatologo, del 28 marzo 2011, e D._______, neurologo, del 20 luglio 2011 (incarto UAIE, doc. 51 a 53), nonché dal rapporto finale del dott. E._______, internista, medico dell'UAIE, del 19 agosto 2011 (incarto UAIE, doc. 57), e dal parere del dott. F._______, reumatologo, medico dell'UAIE, del 6 agosto 2012 (incarto UAIE, doc. 74), emerge la diagnosi, con influsso sulla capacità lavorativa, di sindrome panvertebrale cronica su diffuse alterazioni degenerative con protrusioni discali su più livelli, di stato dopo trauma cranico nel 1990 (commozione cerebrale, frattura cranica in sede temporo-parietale destra, sviluppo di un ematoma epidurale, evacuato, di disturbi neuropsicologici, di cefalee miotensive croniche e di una sindrome vertiginosa), e di sindrome ansioso-depressiva in cura psichiatrica dal mese di marzo 2010 circa, nonché, senza influenza sulla capacità lavorativa, d'ipertensione arteriosa trattata, di calcolosi renale, d'obesità e di pregresso tabagismo. Questa diagnosi generale, che contempla tutti gli elementi espressi dai medici occupatisi del caso, non è condivisa unanimemente dagli stessi, come sarà messo in evidenza qui di seguito.</w:t>
      </w:r>
    </w:p>
    <w:p>
      <w:r>
        <w:rPr>
          <w:b/>
        </w:rPr>
        <w:t>E. 9.3</w:t>
      </w:r>
    </w:p>
    <w:p>
      <w:r>
        <w:t>Relativamente all'incidenza delle affezioni diagnosticate sulla capacità lavorativa, il dott. B._______ ha constatato, nella sua perizia E 213, che il ricorrente è in grado di svolgere regolarmente, a tempo pieno, il suo ultimo lavoro, attività semipesanti ed altre occupazioni confacenti, senza controindicazioni, valutando un grado d'invalidità, secondo criteri propri del diritto italiano, del 35%. Quanto ai periti incaricati dall'UAIE, il dott. C._______ ha formulato, da un punto di vista prettamente reumatologico, un'incapacità lavorativa per attività pesanti pari al 60%, medio-pesanti pari al 40% e leggere pari al 20%, escludendo peggioramenti sotto l'aspetto ortopedico-reumatologico dal 1° novembre 2007 (conclusione della terza procedura di revisione), mentre il dott. D._______ ha fissato una capacità lavorativa del 100% dal punto di vista strettamente neurologico. Più in particolare, il dott. C._______ ha sottolineato che il ricorrente soffre, sul piano psicologico e mentale, delle conseguenze del trauma cranico occorsogli nel 1990, con sviluppo di disturbi neuropsicologici, di una sindrome vertiginosa e di cefalee croniche miotensive, accompagnati da una sindrome ansioso-depressiva che potrebbe pure influenzare il suo stato psicofisico, quindi la sua capacità lavorativa, e ciò probabilmente in modo più marcato che non le sole patologie ortopedico-reumatologiche (perizia, pag. 10), che la limitazione della capacità lavorativa non dipende solamente dalle patologie alla colonna vertebrale, quanto piuttosto dalle problematiche neuropsicologiche e psichiatriche (perizia, pag. 11), affermando in conclusione di non credere che la sindrome algica cronica possa essere assimilata ad una sindrome somatoforme, e ciò per la presenza di alterazioni degenerative multisegmentali, ma che le patologie di natura neuropsicologica e psichiatrica possono almeno in parte influenzare il quadro clinico generale del ricorrente (perizia, pag. 12). Il dott. D._______ non ha indicato alcuna diagnosi nella sua perizia, ma ha rilevato uno stato neurologico e neuropsicologico praticamente normale, salvo un'incipiente compressione cronica del nervo mediano destro nel canale carpale, qualificata di non grave ed ininfluente sulla capacità lavorativa, nonché l'assenza di sequele neuropsicologiche e psicologiche dell'infortunio del 1990, le cefalee essendo praticamente scomparse così come le sensazioni vertiginose, legate eventualmente ad una disfunzione labirintica postraumatica non più evidente, mentre ha constatato la presenza di una sindrome astenica dal carattere piuttosto funzionale, senza deficit oggettivabili, di cervicalgie senza sindrome cervico-vertebrale né segni radicolari o midollari irritativi e tantomeno deficitari, e di lombalgie senza sindrome lombo-vertebrale e segni radicolari irritativi o deficitari ai membri inferiori, escludendo peraltro disturbi psichiatrici suscettibili di motivare un'incapacità lavorativa (perizia, pagg. 5 e 6). Dal canto suo, il dott. E._______ha confermato, nel suo rapporto finale del 19 agosto 2011, le conclusioni dei dottori C._______ e D._______, benché abbia rimproverato sostanzialmente alla perizia reumatologica una distinzione insufficiente tra le indicazioni soggettive del ricorrente e le osservazioni cliniche oggettive, integrando in definitiva nella diagnosi la sindrome ansioso-depressiva, definita però essere "compensata", e, contemporaneamente, nella parte del suo rapporto dedicata alla valutazione del caso, negando l'esistenza di disturbi depressivi, conformemente a quanto risulta dalla perizia neurologica.</w:t>
      </w:r>
    </w:p>
    <w:p>
      <w:r>
        <w:rPr>
          <w:b/>
        </w:rPr>
        <w:t>E. 9.4</w:t>
      </w:r>
    </w:p>
    <w:p>
      <w:r>
        <w:t>Visto quanto precede, questo Tribunale constata innanzitutto che i dottori C._______ e D._______, che non sono psichiatri, si sono ciononostante pronunciati sulla dimensione psichiatrica del caso, per di più in modo contraddittorio, il primo diagnosticando una sindrome ansioso-depressiva dal mese di marzo 2010 circa, il secondo escludendo invece la presenza di disturbi psichiatrici, e che il dott. E._______ha, da un lato, messo in dubbio l'esistenza di una tale patologia, e, dall'altro lato, l'ha integrata nella sua diagnosi, qualificandola però di "compensata". Oltre a ciò, questo Tribunale rileva che il dott. C._______ ha espressamente ritenuto, come elementi diagnostici invalidanti, dei disturbi neuropsicologici, seguito in ciò dal dott. E._______, mentre il dott. D._______, nella sua qualità di neurologo, li ha chiaramente esclusi. Date queste contraddizioni diagnostiche, che di riflesso non permettono di adottare la valutazione dell'incapacità lavorativa espressa dai medici in questione, questo Tribunale non può giungere ad un parere attendibile riguardo alla pretesa del ricorrente di continuare ad avere diritto ad una mezza rendita d'invalidità anche dopo il 30 aprile 2012.</w:t>
      </w:r>
    </w:p>
    <w:p>
      <w:r>
        <w:rPr>
          <w:b/>
        </w:rPr>
        <w:t>E. 10</w:t>
      </w:r>
    </w:p>
    <w:p>
      <w:r>
        <w:t>Di conseguenza, il ricorso deve essere parzialmente accolto, la decisione avversata annullata e la causa rinviata all'UAIE in virtù dell'art. 61 cpv. 1 PA.</w:t>
      </w:r>
    </w:p>
    <w:p>
      <w:r>
        <w:rPr>
          <w:b/>
        </w:rPr>
        <w:t>E. 11</w:t>
      </w:r>
    </w:p>
    <w:p>
      <w:r>
        <w:t>Secondo l'art. 61 cpv. 1 PA, l'autorità di ricorso decide la causa o eccezionalmente la rinvia, con istruzioni vincolanti, all'autorità inferiore. Benché questa norma permetta solo eccezionalmente di ricorrere ad una tale procedura, l'applicazione dell'eccezione prevista è tuttavia giustificata in concreto, se si considera che è necessario delucidare le questioni, senza contraddizioni, della diagnosi e della capacità lavorativa (DTF 137 V 210, consid. 4.4.1.4). In concreto, l'UAIE dovrà procedere all'esecuzione di una perizia psichiatrica per delucidare la presenza o meno di disturbi psichici e valutare la loro eventuale influenza sulla capacità lavorativa, se del caso dopo essersi procurato l'incarto aggiornato della Suva. L'UAIE sottoporrà quindi l'insieme degli atti al proprio servizio medico, il quale si pronuncerà a sua volta sulla diagnosi e sulla capacità lavorativa, dettagliando e giustificando le proprie conclusioni. Dopo che il servizio medico avrà espresso il suo parere in questo senso, l'UAIE effettuerà, se necessario, un adeguato e circostanziato raffronto dei redditi, tenendo conto, per quanto concerne la riduzione per circostanze personali, della giurisprudenza federale in materia (DTF 126 V 75), ed emanerà quindi una nuova decisione impugnabile.</w:t>
      </w:r>
    </w:p>
    <w:p>
      <w:r>
        <w:rPr>
          <w:b/>
        </w:rPr>
        <w:t>E. 12</w:t>
      </w:r>
    </w:p>
    <w:p>
      <w:r>
        <w:t>Secondo l'art. 63 cpv. 1 PA, le spese processuali sono di regola messe a carico della parte soccombente. In concreto, visto l'esito della procedura, non sono prelevate spese processuali e il relativo anticipo di Fr. 400.-, versato il 25 ottobre 2012, è restituito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assegnargli un'indennità per spese ripetibili di Fr. 800.-, a carico dell'UAIE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