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C-1621/2020 vom 6. Dezember 2021</w:t>
      </w:r>
    </w:p>
    <w:p>
      <w:r>
        <w:t>Bundesverwaltungsgericht, 2021-12-06, IT</w:t>
      </w:r>
    </w:p>
    <w:p>
      <w:r>
        <w:rPr>
          <w:b/>
        </w:rPr>
        <w:t xml:space="preserve">Quelle: </w:t>
      </w:r>
      <w:r>
        <w:t>https://mcp.opencaselaw.ch/entscheid/bvger_C-1621_2020</w:t>
      </w:r>
    </w:p>
    <w:p>
      <w:r>
        <w:t>FR: TAF C-1621/2020 du 6 décembre 2021</w:t>
      </w:r>
    </w:p>
    <w:p>
      <w:r>
        <w:t>IT: TAF C-1621/2020 del 6 dicembre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Il ricorso è pertanto ammissibile.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21 giugno 2018,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il 19 febbraio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essendo stato assicurato ed avendo lavorato in Svizzera per periodi dal 1978 al 1991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w:t>
      </w:r>
    </w:p>
    <w:p>
      <w:r>
        <w:t>Il ricorrente ha versato contributi all'AVS/AI svizzera per più di 13 anni (doc. 6)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5.5</w:t>
      </w:r>
    </w:p>
    <w:p>
      <w:r>
        <w:t>In virtù dell'art. 29 cpv. 1 LAI, il diritto alla rendita nasce al più presto dopo sei mesi dalla data in cui l'assicurato ha rivendicato il diritto alle prestazioni conformemente all'art. 29 cpv. 1 LPGA (riservate altresì le condizioni dell'art. 28 cpv. 1 LAI [cfr. consid. 5.3 del presente giudizio]; DTF 142 V 547 consid. 3.2), ma al più presto a partire dal mese seguente il compimento dei 18 anni. L'art. 29 cpv. 3 LAI precisa altresì che la rendita è versata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5.7</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9C_855/2017 del 22 novembre 2017 consid. 3.1 e 9C_826/2009 del 20 luglio 2010 consid. 4.2).</w:t>
      </w:r>
    </w:p>
    <w:p>
      <w:r>
        <w:rPr>
          <w:b/>
        </w:rPr>
        <w:t>E. 6.2</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6.3</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6.4</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7.1</w:t>
      </w:r>
    </w:p>
    <w:p>
      <w:r>
        <w:t>Nel caso in esame, occorre determinare se, e a partire da quando, il ricorrente abbia subito, e senza interruzione notevole, un'incapacità lavorativa del 40% durante un anno giusta l'art. 28 cpv. 1 lett. b LAI. In considerazione della data d'inoltro della domanda di rendita (il 21 giugno 2018), ma anche del momento in cui sarebbe sorta per la prima volta a partire dal 17 marzo 2017 un'incapacità lavorativa nella precedente attività di commerciante in proprio svolta dall'insorgente (v. il rapporto del medico SMR del 22 novembre 2019), un diritto ad una rendita d'invalidità svizzera avrebbe potuto sorgere al più presto a partire dal 1° dicembre 2018.</w:t>
      </w:r>
    </w:p>
    <w:p>
      <w:r>
        <w:rPr>
          <w:b/>
        </w:rPr>
        <w:t>E. 7.2</w:t>
      </w:r>
    </w:p>
    <w:p>
      <w:r>
        <w:t>L'autorità inferiore, fondandosi sui rapporti del suo servizio medico, ha ritenuto che dagli atti di causa non risulta un'incapacità al lavoro media sufficiente, per un anno, ai sensi di legge; malgrado il danno alla salute, l'esercizio dell'attività di commerciante in proprio nel servizio ristoro di macchine da caffé sarebbe sempre esigibile in misura completa. Per conseguenza, l'insorgente non ha mai subito un'incapacità lavorativa di livello pensionabile.</w:t>
      </w:r>
    </w:p>
    <w:p>
      <w:r>
        <w:rPr>
          <w:b/>
        </w:rPr>
        <w:t>E. 7.3.1</w:t>
      </w:r>
    </w:p>
    <w:p>
      <w:r>
        <w:t>In merito alle valutazioni del medico SMR sullo stato di salute e sulla capacità lavorativa del ricorrente di cui ai diversi rapporti da lui redatti, occorre precisare che le stesse sono generiche, basate sostanzialmente sulle imprecise risultanze della perizia medica E 213 del giugno 2019 (doc. 15) e non è dato sapere su quali specifiche ragioni sia fondata la conclusione di una residua capacità lavorativa dell'80% nella precedente attività rispettivamente del 100% in un'attività sostitutiva adeguata (a decorrere peraltro da data imprecisata). Non soccorre il medico SMR neppure l'affermazione che i documenti specialistici sarebbero illeggibili. Essi sono sì di difficile lettura, ma permettono di constatare, per i motivi che saranno indicati nei considerandi che seguono, che sussistono dubbi ed incertezze sullo stato di salute effettivo dell'insorgente, le indicazioni e valutazioni di cui ai referti specialistici non essendo coincidenti con quelle di cui al rapporto E 213 medesimo.</w:t>
      </w:r>
    </w:p>
    <w:p>
      <w:r>
        <w:rPr>
          <w:b/>
        </w:rPr>
        <w:t>E. 7.3.2</w:t>
      </w:r>
    </w:p>
    <w:p>
      <w:r>
        <w:t>Affezioni somatiche</w:t>
      </w:r>
    </w:p>
    <w:p>
      <w:r>
        <w:rPr>
          <w:b/>
        </w:rPr>
        <w:t>E. 7.3.2.1</w:t>
      </w:r>
    </w:p>
    <w:p>
      <w:r>
        <w:t>Quanto alle indicazioni sullo stato di salute somatico del ricorrente, nei rapporti dell'11 e 22 novembre 2019 (doc. 48 e 52), il medico SMR, ha rilevato, in virtù dei documenti medici agli atti, che l'insorgente soffre di una cervicobrachialgia bilaterale (con spondiloartrosi, ernia discale C3-C4, disturbi degenerativi) e di una cardiopatia ischemica cronica (con malattia di due vasi coronarici ed infarto miocardico). Ha poi segnalato che la relazione di visita medica del marzo 2017 (doc. 33) e la perizia E 213 del giugno 2019 (doc. 15) fanno stato di una buona mobilità delle spalle, passaggi posturali nella norma, movimenti ed andatura normali, in assenza di deficit neurologici agli arti inferiori. Ha altresì constatato che il rapporto cardiaco del novembre 2018 riferisce di una frazione di eiezione (FE) del 50% (doc. 24). La situazione cardiaca è, a suo parere, stabilizzata. Infine, ha osservato che i documenti riferiscono anche di lombalgie croniche, broncopneumopatia di grado medio con sindrome restrittiva, cardiopatia ipertensiva, pericardite costrittiva, coxartrosi bilaterale, gonartrosi bilaterale, fumo attivo, fibromialgia, insufficienza venosa ed arteriosa agli arti inferiori, sovrappeso, quest'ultime affezioni comunque, e a suo giudizio, senza incidenza sulla capacità lavorativa. Il medico SMR ha quindi concluso che il ricorrente presenta un'incapacità lavorativa del 20% nell'attività di servizio ristoro di macchine da caffé dal 17 marzo 2017 (data della relazione di visita medica), ma una capacità al lavoro del 100% in un'attività confacente allo stato di salute.</w:t>
      </w:r>
    </w:p>
    <w:p>
      <w:r>
        <w:rPr>
          <w:b/>
        </w:rPr>
        <w:t>E. 7.3.2.2</w:t>
      </w:r>
    </w:p>
    <w:p>
      <w:r>
        <w:t>In sede di opposizione al progetto di decisione, con messaggi di posta elettronica del 2 e 28 gennaio 2020 (doc. 54 e 59), il ricorrente ha trasmesso un rapporto cardiaco del dicembre 2019, un certificato ortopedico del dicembre 2019, un referto di tomografia computerizzata del gennaio 2020, un referto di funzionalità polmonare del gennaio 2020 ed un rapporto pneumologico del gennaio 2020 (doc. 55, 56 e 60 a 62).</w:t>
      </w:r>
    </w:p>
    <w:p>
      <w:r>
        <w:rPr>
          <w:b/>
        </w:rPr>
        <w:t>E. 7.3.2.3</w:t>
      </w:r>
    </w:p>
    <w:p>
      <w:r>
        <w:t>Nei rapporti del 28 gennaio ed 11 febbraio 2020 (doc. 58 e 64), il medico SMR ha altresì, e nella sostanza, confermato la sua precedente valutazione, anche sulla base della nuova documentazione esibita. In particolare, ha segnalato che il rapporto cardiaco del dicembre 2019 (doc. 55) espone la cardiopatia ischemica cronica nota e precedentemente diagnosticata e riferisce di un elettrocardiogramma nella norma e di una frazione di eiezione del 50%. A suo parere, la situazione cardiaca è stabilizzata. Il medico SM ha poi ancora rilevato che il rapporto ortopedico del dicembre 2019 (doc. 56) fa stato di dolori dorso-lombari con disturbi degenerativi. Ha altresì osservato che il rapporto pneumologico del gennaio 2020, peraltro, e a suo parere, di difficile lettura (doc. 60), diagnostica una riacutizzazione della broncopneumopatia, evidenzia una saturazione di ossigeno del 96%, riferisce di una terapia farmacologica e prescrive un'assoluta astensione dal fumo, in assenza di un'insufficienza respiratoria e di un ricovero per scompenso della broncopneumopatia. Il medico SMR ha infine constatato che il referto di tomografia computerizzata del torace del gennaio 2020 (doc. 61) è nella norma. Quanto al referto di funzionalità polmonare del gennaio 2020 (doc. 62), lo stesso evidenzia una sindrome restrittiva di grave entità, quadro clinico comunque, e a suo giudizio, compatibile con la diagnosticata riacutizzazione della broncopneumopatia. Il ricorrente non ha d'altra parte smesso di fumare. L'astensione dal fumo potrebbe, sempre a giudizio del medico SMR, migliorare le condizioni respiratorie dell'insorgente. Secondo il medico SMR, dal profilo polmonare, non sussiste alcuna malattia invalidante.</w:t>
      </w:r>
    </w:p>
    <w:p>
      <w:r>
        <w:rPr>
          <w:b/>
        </w:rPr>
        <w:t>E. 7.3.2.4</w:t>
      </w:r>
    </w:p>
    <w:p>
      <w:r>
        <w:t>Questo Tribunale rileva che dal profilo somatico, il ricorrente è stato ricoverato nell'ottobre 2011 per una cardiopatia ipertensiva (rapporto di dimissione ospedaliera del 29 ottobre 2011; doc. 32) e nel marzo 2018 per un infarto miocardico acuto anteriore (IMA) trattato con angioplastica coronarica percutanea transluminale (PTCA) e stent medicato (lettera di dimissione ospedaliera del 27 marzo 2018; doc. 22) ed è stato sottoposto nel giugno 2018 ad un completamento di rivascolarizzazione miocardica (lettera di dimissione ospedaliera del 3 giugno 2018; doc. 16). Quanto all'evoluzione nel tempo dei disturbi cardiaci, se il rapporto di dimissione ospedaliera del 29 ottobre 2011 riferiva di una frazione di eiezione (FE) conservata e di una classe funzionale NYHA II (doc. 32), il rapporto cardiaco del 25 ottobre 2016 evidenziava un labile compenso emodinamico (II-III classe NYHA; doc. 23) e la lettera di dimissione ospedaliera del 27 marzo 2018 menzionava una FE del 58% (doc. 22), il rapporto cardiaco del 16 dicembre 2019 segnala una FE 50% ai limiti bassi ed una classe NYHA III (doc. 55). Un accertamento più approfondito delle affezioni cardiache appare pertanto indispensabile. Per quanto attiene allo stato di salute ortopedico-reumatologico e neurologico, il ricorrente è stato ricoverato nel novembre 2008 per una spondilodiscoartrosi cervicale con ernia discale C3-C4. Gli esami radiologici evidenziavano, fra gli altri, segni di spondiloartrosi a livello di C3-C4, una protrusione a livello di C4-C5 e C5-C6, un'osteofitosi a livello di C6-C7 nonché una sofferenza radicolare C6-C7 (lettera di dimissione ospedaliera del 21 novembre 2018; doc. 25). Nella relazione di visita ortopedica del 21 maggio 2014 sono stati diagnosticati segnatamente una sindrome cervicocefalalgica e vertiginosa, cervicobrachialgia bilaterale con radicolopatia cronica C6-C7 da protrusioni discali multiple C3-C4, C4-C5, C5-C6 e C6-C7 con stenosi del canale vertebrale, lombosciatalgia bilaterale con radicolopatia cronica da protrusioni discali L4-L5 e L5-S1, coxartrosi, gonartrosi con deficit della deambulazione (doc. 36), diagnosi poi confermata dalla relazione di visita ortopedica del 14 dicembre 2016 (doc. 37). Il rapporto ortopedico del 24 gennaio 2017 segnala altresì la presenza di un reumatismo fibromialgico (doc. 21). Dal certificato ortopedico del 20 novembre 2018 (doc. 34) risultano poi essere subentrate delle parestesie diffuse agli arti superiori ed inferiori (il paziente deambula con dolore e riferisce difficoltà prensile delle mani con scivolamento degli oggetti presi), disturbi confermati nel certificato ortopedico del 20 dicembre 2019 (doc. 56), in cui è pure indicato che il paziente è in trattamento farmacologico per patologia vascolare di stenosi carotidea agli arti inferiori con segni clinici di flebostasi. Stante queste premesse, non era consentito rinunciare ad un approfondito e dettagliato esame ortopedico-reumatologico e neurologico. Peraltro, dal profilo pneumologico, l'insorgente soffre, almeno da marzo del 2010, di una broncopatia cronica in trattamento farmacologico (rapporto pneumologico del 2 marzo 2010; doc. 19). Contrariamente a quanto ritenuto dal medico SMR, e per quanto emerge dalla documentazione medica agli atti, se il rapporto pneumologico del 18 ottobre 2016 diagnosticava una broncopneumopatia cronica ostruttiva (BPCO) Gold Stadio III ed evidenziava all'esame di spirometria un'incapacità ventilatoria di grado moderato (doc. 38), la situazione appare essersi modificata al più tardi dal 28 gennaio 2020, data di un referto di spirometria, in cui è segnalato un deficit funzionale ventilatorio, prevalentemente ostruttivo, di grave entità (v. anche il rapporto pneumologico del 28 gennaio 2020, in cui è posta la diagnosi di BPCO Gold III riacutizzato), ciò che appare confermare la necessità di più approfondite indagini.</w:t>
      </w:r>
    </w:p>
    <w:p>
      <w:r>
        <w:rPr>
          <w:b/>
        </w:rPr>
        <w:t>E. 7.3.3</w:t>
      </w:r>
    </w:p>
    <w:p>
      <w:r>
        <w:t>Affezioni psicosomatiche</w:t>
      </w:r>
    </w:p>
    <w:p>
      <w:r>
        <w:rPr>
          <w:b/>
        </w:rPr>
        <w:t>E. 7.3.3.1</w:t>
      </w:r>
    </w:p>
    <w:p>
      <w:r>
        <w:t>Quanto alla valutazione sullo stato di salute psichico del ricorrente, nei rapporti dell'11 e 22 novembre 2019 (doc. 48 e 52), il medico SMR ha segnalato che dalla relazione di visita medica del marzo 2017 (doc. 33) risulta che il ricorrente è una persona ansiosa tendente al depresso e soffre di una sindrome depressiva cronica. Il medico SMR ha poi rilevato che il rapporto psichiatrico del gennaio 2017 (doc. 28) è illeggibile. Non sono altresì disponibili, secondo detto medico, rapporti psichiatrici più recenti e dettagliati. Per quanto attiene ai certificati del giugno 2016, novembre 2015 e marzo 2014 (doc. 29 a 31), si tratta, sempre a parere del medico SMR, di prescrizioni per farmaci, senza che siano peraltro state fornite delle indicazioni sullo stato psichico dell'insorgente (in assenza di un ricovero per disturbi psichiatrici). Secondo il medico SMR, dal profilo psichico, non sussiste alcun disturbo significativo.</w:t>
      </w:r>
    </w:p>
    <w:p>
      <w:r>
        <w:rPr>
          <w:b/>
        </w:rPr>
        <w:t>E. 7.3.3.2</w:t>
      </w:r>
    </w:p>
    <w:p>
      <w:r>
        <w:t>Ora, questo Tribunale constata che dal certificato psichiatrico del 25 marzo 2014 (doc. 31) risulta che il ricorrente soffre di una sindrome depressiva cronica di grado severo con decremento marcato del tono dell'umore, disturbi del sonno e della concentrazione, abulia, facile affaticabilità e riduzione significativa dell'autostima ed è stata prescritta l'assunzione di una terapia farmacologica (un farmaco antidepressivo ed un ansiolitico; v. anche la prescrizione medica del 30 novembre 2015 [doc. 30]), diagnosi poi confermata nel certificato psichiatrico del 22 giugno 2016 (doc. 29). Un trattamento farmacologico (un farmaco antidepressivo ed un ansiolitico) è stato continuato almeno fino al 19 gennaio 2017 (doc. 28), data di un certificato psichiatrico in cui è evidenziata la diagnosi di depressione cronica di grado severo, precisato che la deflessione del tono dell'umore si accompagna ad uno stato d'angoscia continua e segnalato un disagio psicopatologico di entità non trascurabile nel funzionamento lavorativo e sociale. Per il resto, nella relazione di visita medica del 17 marzo 2017 (doc. 33) è indicato che "il disturbo ansioso-depressivo, reattivo alla storia lavorativa e clinico-patologica, pesa comunque sulle attitudini lavorative (del) ricorrente con un aspetto sintomatologico rappresentato da una tendenza alla somatizzazione dell'ansia, oscillazione del tono dell'umore in rapporto a situazione o modificazioni organiche, somatiche o neurovegetative". Basti al proposito ancora rilevare che, secondo una costante giurisprudenza del Tribunale federale, in ambito psichiatrico, la diagnosi deve essere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143 V 418 consid. 6 segg.; 143 V 409; 141 V 281 consid. 2, 3.4-3.6 e 4.1; valutazione che non è stata effettuata nell'ambito dell'istruttoria della domanda di rendita d'invalidità svizzera). Non è altresì dato sapere/non è stato indicato perché nel caso concreto si sarebbe potuto rinunciare a tale procedura probatoria strutturata.</w:t>
      </w:r>
    </w:p>
    <w:p>
      <w:r>
        <w:rPr>
          <w:b/>
        </w:rPr>
        <w:t>E. 7.3.4</w:t>
      </w:r>
    </w:p>
    <w:p>
      <w:r>
        <w:t>Quanto alla (generica) perizia medica E 213 del 6 giugno 2019 (doc. 15), non è possibile attribuirle pieno valore probatorio, dal momento che la stessa non è stata redatta da uno specialista in cardiologia, ortopedia-reumatologia, neurologia, pneumologia o psichiatria e che l'esame cardiaco, ortopedico-reumatologico, neurologico, pneumologico e psichico effettuato dal medico dell'INPS risulta estremamente superficiale ed impreciso (doc. 15 pag. 4 e 5 n. 4.1, 4.4, 4.5, 4.8 e 4.10).</w:t>
      </w:r>
    </w:p>
    <w:p>
      <w:r>
        <w:rPr>
          <w:b/>
        </w:rPr>
        <w:t>E. 7.3.5</w:t>
      </w:r>
    </w:p>
    <w:p>
      <w:r>
        <w:t>Visto quanto precede, l'autorità inferiore non poteva sulla base di insufficiente documentazione medica e di generiche ed imprecise valutazioni del medico SMR (che peraltro neppure ha visitato personalmente l'insorgente), negare ogni effetto invalidante, sia nella precedente attività che in attività sostitutive adeguate, ai disturbi cardiaci, ortopedico-reumatologici, neurologici, pneumologici e psichici attestati da altri medici, senza prima completare l'istruttoria dal profilo cardiaco, ortopedico-reumatologico, neurologico, pneumologico e psichico con una perizia interdisciplinare. Infatti, solo una valutazione specialistica avrebbe potuto stabilire con il necessario grado della verosimiglianza preponderante se i descritti disturbi in tali ambiti potevano assumere valore patologico avente incidenza significativa - e quale - sulla capacità lavorativa sia nella precedente attività che in un'attività sostitutiva adeguata nel periodo determinante.</w:t>
      </w:r>
    </w:p>
    <w:p>
      <w:r>
        <w:rPr>
          <w:b/>
        </w:rPr>
        <w:t>E. 8</w:t>
      </w:r>
    </w:p>
    <w:p>
      <w:r>
        <w:t>Da quanto esposto, discende che la decisione impugnata, che viola il diritto federale - accertamento insufficiente dei fatti giuridicamente rilevanti -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C-4444/2019 del 20 maggio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L'autorità inferiore dovrà in particolare far effettuare una perizia interdisciplinare in cardiologia, ortopedia-reumatologia, neurologia, pneumologia e psichiatria, da svolgersi in Svizzera (cfr., sulla possibilità di rinvio all'autorità inferiore in siffatte circostanze, DTF 137 V 210 consid. 4.4.1.4), nonché ogni ulteriore esame che pure l'evoluzione nel tempo dello stato di salute del ricorrente dovesse ancora rendere necessario. Per il resto, e a seconda del risultato della citata perizia interdisciplinare, l'UAIE dovrà pronunciarsi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C- 4444/2019 consid. 9.3).</w:t>
      </w:r>
    </w:p>
    <w:p>
      <w:r>
        <w:rPr>
          <w:b/>
        </w:rPr>
        <w:t>E. 9.4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19 febbraio 2020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w:t>
      </w:r>
    </w:p>
    <w:p>
      <w:r>
        <w:rPr>
          <w:b/>
        </w:rPr>
        <w:t>E. 10.1</w:t>
      </w:r>
    </w:p>
    <w:p>
      <w:r>
        <w:t>Visto l'esito della causa, non sono prelevate delle spese processuali (art. 63 PA). L'anticipo equivalente alle presunte spese processuali di fr. 800.-, versato l'11 giugno 2020, sarà restituito al ricorrente allorquando la presente sentenza sarà cresciuta in giudicato.</w:t>
      </w:r>
    </w:p>
    <w:p>
      <w:r>
        <w:rPr>
          <w:b/>
        </w:rPr>
        <w:t>E. 10.2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cfr., sulla questione, la sentenza del TAF C-4215/2019 del 2 novembre 2020 consid. 10.2), tenuto conto del lavoro effettivo ed utile - relativamente contenuto ed in causa non particolarmente complessa -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