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C-1618/2007 vom 27. Februar 2009</w:t>
      </w:r>
    </w:p>
    <w:p>
      <w:r>
        <w:t>Bundesverwaltungsgericht, 2009-02-27, DE</w:t>
      </w:r>
    </w:p>
    <w:p>
      <w:r>
        <w:rPr>
          <w:b/>
        </w:rPr>
        <w:t xml:space="preserve">Quelle: </w:t>
      </w:r>
      <w:r>
        <w:t>https://mcp.opencaselaw.ch/entscheid/bvger_C-1618_2007</w:t>
      </w:r>
    </w:p>
    <w:p>
      <w:r>
        <w:t>FR: TAF C-1618/2007 du 27 février 2009</w:t>
      </w:r>
    </w:p>
    <w:p>
      <w:r>
        <w:t>IT: TAF C-1618/2007 del 27 febbraio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der Einreisesperre eine Verfügung im erwähnten Sinne und daher ein zulässiges Anfechtungsobjekt erlassen hat. Eine Ausnahme nach Art. 32 VGG liegt nicht vor. Das Bundesverwaltungsgericht entscheidet vorliegend endgültig (Art. 83 Bst. c Ziff. 1 des Bundesgerichtsgesetzes vom 17. Juni 2005 [BGG, SR 173.110]).</w:t>
      </w:r>
    </w:p>
    <w:p>
      <w:r>
        <w:rPr>
          <w:b/>
        </w:rPr>
        <w:t>E. 1.2</w:t>
      </w:r>
    </w:p>
    <w:p>
      <w:r>
        <w:t>Der Beschwerdeführer ist als Adressat der Verfügung zur Beschwerde legitimiert (Art. 48 Abs. 1 VwVG). Auf die frist- und formgerecht eingereichte Beschwerde ist daher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 Urteil des Bundesverwaltungsgerichts C-135/2006 vom 20. Dezember 2007 mit weiteren Hinweisen).</w:t>
      </w:r>
    </w:p>
    <w:p>
      <w:r>
        <w:rPr>
          <w:b/>
        </w:rPr>
        <w:t>E. 3</w:t>
      </w:r>
    </w:p>
    <w:p>
      <w:r>
        <w:t>Der Beschwerdeführer wurde von der Vorinstanz ganz offensichtlich nicht darüber informiert, dass gegen ihn die Verhängung einer ausländerrechtlichen Fernhaltemassnahme geprüft werde und er hatte entsprechend keine Möglichkeit, sich vor Erlass dazu zu äussern.</w:t>
      </w:r>
    </w:p>
    <w:p>
      <w:r>
        <w:rPr>
          <w:b/>
        </w:rPr>
        <w:t>E. 3.1</w:t>
      </w:r>
    </w:p>
    <w:p>
      <w:r>
        <w:t>Der Anspruch auf rechtliches Gehör, wie ihn Lehre und Rechtsprechung aus Artikel 29 Abs. 2 der Schweizerischen Bundesverfassung vom 18. April 1999 (BV, SR 102)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Zürich/Basel/Genf/St. Gallen 2006, S.360 ff.; ALFRED KÖLZ/ISABELLE HÄNER, Verwaltungsverfahren und Verwaltungsrechtspflege des Bundes, 2. Aufl., Zürich 1998, S. 45 ff.; MARKUS SCHEFER, Grundrechte in der Schweiz, Bern 2005, S. 285 ff.). Zunächst - und für die Prozessparteien regelmässig im Vordergrund stehend - gehört dazu das Recht auf vorgängige Anhörung und Äusserung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 Auf den Gehörsanspruch als solchen kann nicht verzichtet werden. Ob das rechtliche Gehör gewährt wurde, ist im Beschwerdeverfahren von Amtes wegen zu überprüfen (vgl. KÖLZ/HÄNER. a.a.O., S. 46).</w:t>
      </w:r>
    </w:p>
    <w:p>
      <w:r>
        <w:rPr>
          <w:b/>
        </w:rPr>
        <w:t>E. 3.2</w:t>
      </w:r>
    </w:p>
    <w:p>
      <w:r>
        <w:t>Die Vorinstanz äusserte sich in ihrer Vernehmlassung vom 9. Juli 2007 nicht zur Frage einer allfälligen Gehörsverletzung im Zusammenhang mit der angefochtenen Verfügung. Auf eine zeitliche Dringlichkeit, die es ihr allenfalls erlaubt hätte, gestützt auf Art. 30 Abs. 2 Bst. e VwVG von der vorgängigen Anhörung des Beschwerdeführers Abstand zu nehmen, kann sie sich nicht berufen. Die anstehende Gesetzesänderung, mit der das Instrument der Landesverweisung aufgehoben wurde, war seit längerer Zeit bekannt und es ist nicht einsehbar, was die kantonale Migrationsbehörde bzw. die Vorinstanz daran hätte hindern können, die ersatzweise Verhängung einer Fernhaltemassnahme so rechtzeitig zu prüfen, dass der Betroffene noch dazu hätte angehört werden können. Die Vorinstanz kann somit nicht für sich in Anspruch nehmen, es sei (im Sinne der erwähnten Norm) Gefahr im Verzuge gewesen. Kommt hinzu, dass der Aufenthaltsort des Beschwerdeführers in Deutschland schon seit längerer Zeit bekannt war.</w:t>
      </w:r>
    </w:p>
    <w:p>
      <w:r>
        <w:rPr>
          <w:b/>
        </w:rPr>
        <w:t>E. 3.3</w:t>
      </w:r>
    </w:p>
    <w:p>
      <w:r>
        <w:t>Der Anspruch auf rechtliches Gehör ist formeller Natur. Seine Verletzung führt grundsätzlich ungeachtet der Erfolgsaussichten der Beschwerde in der Sache selbst zur Aufhebung der angefochtenen Verfügung. Ob eine Gehörsgewährung im konkreten Fall für den Ausgang der Streitsache in materieller Hinsicht von Bedeutung ist, d.h. ob die Behörde dadurch zu einer Änderung veranlasst werden könnte, spielt also keine Rolle (vgl. PATRICK SUTTER in: Christoph Auer/Markus Müller/Benjamin Schindler [Hrsg.], Kommentar zum Bundesgesetz über das Verwaltungsverfahren [VwVG], Zürich/St. Gallen 2008, Rz. 16 zu Art. 29 VwVG; ANDRÉ MOSER/MICHAEL BEUSCH/LORENZ KNEUBÜHLER, Prozessieren vor dem Bundesverwaltungsgericht, Lausanne/Zürich/Bern 2008, S. 153 Rz. 3.110; BGE 127 V 431 E. 3d.aa; BVGE 2007/27 E. 10.1; BVGE 2007/30 E. 5.5.1, Urteil der Schweizerischen Asylrekurskommission vom 8. Juni 2004, veröffentlicht in VPB 69.28 E. 7e). Dieser Grundsatz wird allerdings dadurch relativiert, dass die Verletzung des Gehörsanspruchs gegebenenfalls durch die Rechtsmittelinstanz geheilt werden kann. Eine Verletzung des rechtliche Gehörs ist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 unterbreitet werden können. Von der Rückweisung der Sache zur Gewährung des rechtlichen Gehörs an die Verwaltung kann in solchen Fällen nach dem Grundsatz der Verfahrensökonomie dann abgesehen werden, wenn die Rückweisung zu einem "formalistischen Leerlauf" und damit zu einer unnötigen Verlängerung des Verfahrens führen würde. Den verfahrensökonomischen Überlegungen ist allerdings dann kein entscheidendes Gewicht beizumessen, wenn ein Verfahren keinen Einzelfall belegt, sondern für eine Vielzahl anderer Fälle mit vergleichbaren Konstellationen von Bedeutung ist. Es gilt zu verhindern, dass die Vorinstanz darauf vertraut, von ihr missachtete Verfahrensrechte würden systematisch nachträglich geheilt. Ansonsten verlören die gerade für das erstinstanzliche Verfahren vorgesehenen prozessualen Garantien ihren Sinn (vgl. PATRICK SUTTER, a.a.O., Rz. 18 zu Art. 29 VwVG sowie MOSER/BEUSCH/KNEUBÜHLER, a.a.O., S. 154 f. Rz. 3.113 mit weiteren Hinweisen).</w:t>
      </w:r>
    </w:p>
    <w:p>
      <w:r>
        <w:rPr>
          <w:b/>
        </w:rPr>
        <w:t>E. 3.4</w:t>
      </w:r>
    </w:p>
    <w:p>
      <w:r>
        <w:t>Das Bundesverwaltungsgericht verfügt im vorliegenden Verfahren über die gleiche Kognition wie die Vorinstanz und ist zur freien Prüfung aller Sachverhalts- und Rechtsfragen befugt. Eine Voraussetzung zur (ausnahmsweisen) Heilung der Verletzung des rechtlichen Gehörs wäre somit gegeben. Andererseits ist von einer schwerwiegenden Verletzung der Parteirechte auszugehen. Mit der Nichtanhörung vor der Anordnung der Einreisesperre hat die Vorinstanz dem Beschwerdeführer einen wesentlichen Bestandteil der aus dem Anspruch auf rechtliches Gehör fliessenden Mitwirkungsrechte vorenthalten. Daran vermag der Umstand nichts zu ändern, dass mit der Fernhaltemassnahme quasi eine aus gesetzlichen Gründen vorzeitig wegfallende Landesverweisung kompensiert werden sollte. Eine Heilung rechtfertigt sich auch nicht vor dem Hintergrund des Verfahrensantrages der Vorinstanz (Reduktion auf die Dauer der vormaligen Landesverweisung). Denn die Vorinstanz musste damit rechnen, dass sich die Umstände seit dem Strafurteil vom 24. November 1994 bzw. seit der Entlassung des Beschwerdeführers aus dem Strafvollzug im März 1996 wesentlich verändert haben könnten. Gegen die Zulässigkeit der Heilung dieses Verfahrensmangels spricht auch der Umstand, dass der Entscheid betreffend Anordnung und Dauer der Einreisesperre eine grosse Ermessenskomponente aufweist (vgl. BGE 104 Ib 129 E. 7 S. 137).</w:t>
      </w:r>
    </w:p>
    <w:p>
      <w:r>
        <w:rPr>
          <w:b/>
        </w:rPr>
        <w:t>E. 3.5</w:t>
      </w:r>
    </w:p>
    <w:p>
      <w:r>
        <w:t>Schliesslich stellt die Gehörsverletzung im vorliegenden Kontext offensichtlich keinen Einzelfall dar (vgl. etwa Urteil des Bundesverwaltungsgerichts C-3985/2007 vom 2. Februar 2009; auch in diesem Verfahren wurde in Hinblick auf den gesetzlich bedingten Wegfall der bestehenden Landesverweisung eine Einreisesperre verfügt, ohne dem Betroffenen vorgängig das rechtliche Gehör zu gewähren). Die Vorinstanz hat ganz offensichtlich gestützt auf ihr zur Verfügung gestellter Listen systematisch Fernhaltemassnahmen erlassen in Fällen, in denen Ausländer von einer Landesverweisung betroffen waren.</w:t>
      </w:r>
    </w:p>
    <w:p>
      <w:r>
        <w:rPr>
          <w:b/>
        </w:rPr>
        <w:t>E. 4</w:t>
      </w:r>
    </w:p>
    <w:p>
      <w:r>
        <w:t>Aus vorstehenden Erwägungen ergibt sich, dass die Vorinstanz Bundesrecht verletzte, indem sie den Anspruch des Beschwerdeführers auf rechtliches Gehör verweigert hat (Art. 49 Bst. b VwVG). Ein Heilung dieser Verfahrensverletzung fällt in casu ausser Betracht. Die Beschwerde ist daher gutzuheissen, die Verfügung vom 23. Januar 2007 aufzuheben und die Sache an die Vorinstanz zur Neubeurteilung zurückzuweisen.</w:t>
      </w:r>
    </w:p>
    <w:p>
      <w:r>
        <w:rPr>
          <w:b/>
        </w:rPr>
        <w:t>E. 5</w:t>
      </w:r>
    </w:p>
    <w:p>
      <w:r>
        <w:t>Bei diesem Ausgang des Verfahrens sind dem Beschwerdeführer keine Kosten aufzuerlegen (Art. 63 Abs. 1 VwVG), und der geleistete Kostenvorschuss ist zurückzuerstatten.</w:t>
      </w:r>
    </w:p>
    <w:p>
      <w:r>
        <w:rPr>
          <w:b/>
        </w:rPr>
        <w:t>E. 6</w:t>
      </w:r>
    </w:p>
    <w:p>
      <w:r>
        <w:t>Dem Beschwerdeführer ist für die im Verfahren vor dem Bundesverwaltungsgericht erwachsenen notwendigen und verhältnismässig hohen Kosten zulasten der Vorinstanz eine Parteientschädigung von Fr. 600.- zuzusprechen (Art. 64 Abs. 1 VwVG i.V.m. Art. 7 und Art. 10 Abs. 1 sowie Art. 14 Abs. 2 in fine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