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C-1615/2023 vom 10. Februar 2023</w:t>
      </w:r>
    </w:p>
    <w:p>
      <w:r>
        <w:t>Bundesverwaltungsgericht, 2023-02-10, DE</w:t>
      </w:r>
    </w:p>
    <w:p>
      <w:r>
        <w:rPr>
          <w:b/>
        </w:rPr>
        <w:t xml:space="preserve">Quelle: </w:t>
      </w:r>
      <w:r>
        <w:t>https://mcp.opencaselaw.ch/entscheid/bvger_C-1615_2023_d20230210</w:t>
      </w:r>
    </w:p>
    <w:p>
      <w:r>
        <w:t>FR: TAF C-1615/2023 du 10 février 2023</w:t>
      </w:r>
    </w:p>
    <w:p>
      <w:r>
        <w:t>IT: TAF C-1615/2023 del 10 febbraio 2023</w:t>
      </w:r>
    </w:p>
    <w:p>
      <w:pPr>
        <w:pStyle w:val="Heading2"/>
      </w:pPr>
      <w:r>
        <w:t>Regeste</w:t>
      </w:r>
    </w:p>
    <w:p>
      <w:r>
        <w:t>Beitragsverf&amp;uuml;gung der Auffangeinrichtung | Berufliche Vorsorge, Beitragsverfügung und Aufhebung Rechtsvorschlag, Verfügung vom 10. Februar 2023. Das BGer auf die Beschwerde nicht eingetreten.</w:t>
      </w:r>
    </w:p>
    <w:p>
      <w:pPr>
        <w:pStyle w:val="Heading2"/>
      </w:pPr>
      <w:r>
        <w:t>Erwägungen</w:t>
      </w:r>
    </w:p>
    <w:p>
      <w:r>
        <w:rPr>
          <w:b/>
        </w:rPr>
        <w:t>E. 1</w:t>
      </w:r>
    </w:p>
    <w:p>
      <w:r>
        <w:t>Auf die Beschwerde wird nicht eingetreten.</w:t>
      </w:r>
    </w:p>
    <w:p>
      <w:r>
        <w:rPr>
          <w:b/>
        </w:rPr>
        <w:t>E. 2</w:t>
      </w:r>
    </w:p>
    <w:p>
      <w:r>
        <w:t>Es werden keine Verfahrenskosten erhoben, und es wird keine Parteientschädigung zugesprochen.</w:t>
      </w:r>
    </w:p>
    <w:p>
      <w:r>
        <w:rPr>
          <w:b/>
        </w:rPr>
        <w:t>E. 3</w:t>
      </w:r>
    </w:p>
    <w:p>
      <w:r>
        <w:t>Dieses Urteil geht an den Beschwerdeführer, die Vorinstanz, das Bundesamt für Sozialversicherungen und die Oberaufsichtskommission BVG. Der Einzelrichter: Die Gerichtsschreiberin: Michael Peterli Sandra Tibis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r>
        <w:rPr>
          <w:b/>
        </w:rPr>
        <w:t>E. 13</w:t>
      </w:r>
    </w:p>
    <w:p>
      <w:r>
        <w:t>Februar 2023 zugestellt worden ist, dass A._______ (nachfolgend: Beschwerdeführer) mit Eingabe vom</w:t>
      </w:r>
    </w:p>
    <w:p>
      <w:r>
        <w:rPr>
          <w:b/>
        </w:rPr>
        <w:t>E. 15</w:t>
      </w:r>
    </w:p>
    <w:p>
      <w:r>
        <w:t>März 2023 abgelaufen und somit die am 18. März 2023 der Post über- gebene Beschwerde als verspätet zu betrachten ist, dass demzufolge auf die verspätete Beschwerde im einzelrichterlichen Verfahren nicht einzutreten ist (vgl. Art. 23 Abs. 1 Bst. b VGG), dass die Verfahrenskosten in der Regel der unterliegenden Partei aufzuer- legen sind, und dass sie ihr ausnahmsweise erlassen werden können (vgl. Art. 63 Abs. 1 Satz 1 und 3 VwVG), dass die Verfahrenskosten ganz oder teilweise erlassen werden können, wenn Gründe in der Sache oder in der Person der Partei es als unverhältnismässig erscheinen lassen, diese der Partei aufzuerlegen (Art. 6 Bst. b des Reglements vom 21. Februar 2008 über die Kosten und Entschädigungen vor dem Bundesverwaltungsgericht [VGKE, SR 173.320.2]), dass vorliegend auf die Erhebung von Verfahrenskosten zu verzichten ist, dass die obsiegende Vorinstanz als Behörde keinen Anspruch auf Partei- entschädigung hat (Art. 7 Abs. 3 VGKE).</w:t>
      </w:r>
    </w:p>
    <w:p>
      <w:r>
        <w:t>C-1615/2023 Seite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