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C-1608/2015 vom 26. August 2015</w:t>
      </w:r>
    </w:p>
    <w:p>
      <w:r>
        <w:t>Bundesverwaltungsgericht, 2015-08-26, DE</w:t>
      </w:r>
    </w:p>
    <w:p>
      <w:r>
        <w:rPr>
          <w:b/>
        </w:rPr>
        <w:t xml:space="preserve">Quelle: </w:t>
      </w:r>
      <w:r>
        <w:t>https://mcp.opencaselaw.ch/entscheid/bvger_C-1608_2015</w:t>
      </w:r>
    </w:p>
    <w:p>
      <w:r>
        <w:t>FR: TAF C-1608/2015 du 26 août 2015</w:t>
      </w:r>
    </w:p>
    <w:p>
      <w:r>
        <w:t>IT: TAF C-1608/2015 del 26 agosto 2015</w:t>
      </w:r>
    </w:p>
    <w:p>
      <w:pPr>
        <w:pStyle w:val="Heading2"/>
      </w:pPr>
      <w:r>
        <w:t>Regeste</w:t>
      </w:r>
    </w:p>
    <w:p>
      <w:r>
        <w:t>Einreiseverbot</w:t>
      </w:r>
    </w:p>
    <w:p>
      <w:pPr>
        <w:pStyle w:val="Heading2"/>
      </w:pPr>
      <w:r>
        <w:t>Erwägungen</w:t>
      </w:r>
    </w:p>
    <w:p>
      <w:r>
        <w:rPr>
          <w:b/>
        </w:rPr>
        <w:t>E. 1.1</w:t>
      </w:r>
    </w:p>
    <w:p>
      <w:r>
        <w:t>Gemäss Art. 31 VGG beurteilt das Bundesverwaltungsgericht - unter Vorbehalt der in Art. 32 VGG genannten Ausnahmen - Beschwerden gegen Verfügungen im Sinne von Art. 5 VwVG, die von einer in Art. 33 VGG aufgeführten Behörde erlassen wurden. Darunter fallen u.a. Verfügungen des SEM, welche ein Einreiseverbot beinhalten.</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3.1 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 3.2 Das Einreiseverbot ist keine Sanktion für vergangenes Fehlverhalten, sondern eine Massnahme zur Abwendung einer künftigen Störung der öf­fentlichen Sicherheit und Ordnung (BBl 2002 3813). Die Feststellung ei­ner solchen Gefahr ist ein Wahrscheinlichkeitsurteil, das sich naturge­mäss auf vergangenes Verhalten einer ausländischen Person abstützen muss. Stellt bereits dieses vergangene Verhalten eine Störung der öffentlichen Sicherheit und Ordnung dar, wird die Gefahr künftiger Störungen von Gesetzes wegen vermutet (BBl 2002 3760).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betroffenen Person in der Schweiz mit erheblicher Wahrscheinlichkeit zu einem Verstoss gegen die öffentliche Sicherheit und Ordnung führt. 3.3 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Schweizer/Sutter/Widmer, in: Rainer J. Schweizer [Hrsg.], Sicherheits- und Ordnungsrecht des Bundes, SBVR Bd. III/1, Basel 2008, Teil B Rz. 13 m.H.). In diesem Sinne liegt nach Art. 80 Abs. 1 Bst. a VZAE ein Ver­stoss gegen die öffentliche Sicherheit und Ordnung un­ter anderem dann vor, wenn gesetzliche Vorschriften oder behördliche Verfü­gungen missachtet werden. Darunter fällt auch die Zuwiderhandlung gegen Normen des Ausländerrechts. Es genügt dabei,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ausländerrechtlichen Vorschriften ins Bild zu setzen und sich im Falle von Unklarheiten bei der zuständigen Behörde zu informie­ren (vgl. Urteil des BVGer C 6993/2014 vom 30. März 2015 E. 3.3 m.H.). 4.1 Die Vorinstanz stützt sich auf Art. 67 Abs. 2 Bst. a AuG und macht geltend, die Beschwerdeführerin sei in der Schweiz ohne Bewilligung erwerbstätig gewesen. Die Ausübung einer solchen unbewilligten Erwerbstätigkeit stelle einen Verstoss gegen die Gesetzgebung dar, womit eine ernsthafte Gefährdung der öffentlichen Sicherheit und Ordnung einhergehe. Die Verfügung einer Fernhaltemassnahme zum Schutz der öffentlichen Sicherheit und Ordnung sei somit angezeigt (vgl. SEM-act. 5). 4.2 Diesbezüglich lässt die Beschwerdeführerin einwenden, sie habe vom 17. Januar 2015 bis zum 3. März 2015 über ein gültiges Schengen-Visum verfügt. Innerhalb der Visumsfrist sei sie somit berechtigt gewesen, sich maximal 30 Tage in den Schengen Staaten aufzuhalten. Ihrem Reisepass könne entnommen werden, dass sie am 20. Januar 2015 in die Niederlande eingereist sei. Sie habe sich somit bis zum 18. Februar 2015 rechtsgültig in Schengen Staaten aufhalten dürfen. Weder in den Niederlanden noch in der Schweiz sei sie einer Erwerbstätigkeit nachgegangen, sondern aus rein touristischen Gründen in die Schweiz gereist. In China sei sie im Alter von 50 Jahren (2012) pensioniert worden und bereise seitdem verschiedene Länder. Sie habe den Strafbefehl sowie die Wegweisungsverfügung angefochten. Die Wohnung an der Y.________ in Luzern gehöre einer Freundin, von welcher sie die Schlüssel zur Wohnung erhalten habe. Dass sich während ihres Aufenthaltes noch eine Frau in derselben Wohnung aufhalten würde und was diese gemacht habe, habe sie nicht gewusst. Sie selbst sei in der Schweiz keinerlei Erwerbstätigkeit nachgegangen und mit ihren 52 Jahren bestimmt auch nicht der Prostitution. Sie sei bei ihrer Anhaltung vom 6. Februar 2015 bereits im Besitz des Rückflugtickets für den 17. Februar 2015 gewesen (vgl. BVGer-act. 1 S. 4 ff.). 4.3 Dagegen führt die Vorinstanz aus, die Beschwerdeführerin sei mit Strafbefehl der Staatsanwaltschaft des Kantons Luzern vom 10. Februar 2015 wegen rechtswidriger Einreise in die Schweiz, rechtswidrigen Aufenthalts in der Schweiz und Ausübens einer Erwerbstätigkeit ohne Bewilligung mit einer Geldstrafe von 70 Tagessätzen zu je Fr. 30.-, bedingt ausgesprochen bei einer Probezeit von zwei Jahren, bestraft worden. Aus der Beschwerdeschrift vom 12. März 2015 und der polizeilichen Einvernahme bei der Luzerner Polizei vom 6. Februar 2015 würden sich gewisse Ungereimtheiten ergeben. So habe die Beschwerdeführerin anlässlich der Einvernahme zu Protokoll gegeben, dass eine Freundin in Shanghai die Wohnung in Luzern organisiert und ihr den Wohnungsschlüssel bereits in Shanghai gegeben habe, wogegen in der Beschwerdeschrift ausgeführt worden sei, dass ihre Freundin ihr nach dem Aufenthalt in St. Gallen bei einem Bekannten empfohlen habe, doch in Luzern vorbeizukommen. Nach ihrer Ankunft in Luzern habe sie von ihr dann einen Schlüssel zur Wohnung an der Y._______ erhalten. Dass die Polizei in der Wohnung, in welcher sich die Beschwerdeführerin aufgehalten habe, eine Kontrolle durchgeführt habe, sei darauf zurückzuführen, dass sich zahlreiche Nachbarn bei der Polizei beschwert hätten, wonach zu jeder Tages- und Nachtzeit Männer an ihrer Haustüre klingeln würden, die sich offenbar in der Adresse geirrt hätten. Die durch die Polizei angetroffenen Gegebenheiten hätten nur den Schluss einer nicht bewilligten Erwerbstätigkeit zugelassen (vgl. BVGer-act. 8). 4.4 Replikweise führt die Rechtsvertreterin ergänzend aus, ihr sei ein Fehler unterlaufen. Die Beschwerdeführerin habe bereits in Shanghai mit ihrer Freundin Kontakt aufgenommen und von dieser den Schlüssel zur Wohnung erhalten. Was die andere Frau gemacht habe, habe die Beschwerdeführerin nicht gekümmert. Wären ihr illegale Handlungen aufgefallen, so hätte sie sich nicht weiter in der Wohnung aufgehalten (BVGer-act. 17). 4.5 Den Ausführungen der Beschwerdeführerin kann aus mehreren Gründen nicht gefolgt werden. Laut Bericht der Luzerner Polizei vom 7. Februar 2015 wurde die Beschwerdeführerin in einer 3 ½ Zimmer Wohnung vorgefunden, die aufgrund ihrer Einrichtung und dem Ambiente darauf hinwies, dass dort der Prostitution nachgegangen wurde. So waren die Zimmer um 15:00 Uhr abgedunkelt, es hatte keine Lampen in den Räumen, im Eingangsbereich war eine Kamera installiert, in der Küche wurden Zettel mit Umsatzzahlen (Ende Januar/anfangs Februar) vorgefunden und in zwei Zimmern befand sich je ein grosses Bett und daneben diverse Handtücher, mehrere Kondome und Feuchttücher. Zudem war es in der Wohnung sehr warm und die Beschwerdeführerin demzufolge nicht der Jahreszeit (Winter) entsprechend gekleidet. In ihrer Handtasche wurden ca. 20 Kondome sichergestellt, was ebenfalls darauf hindeutet, dass sich die Beschwerdeführerin prostituiert hat (vgl. Kant.-Act. S. 23 f.). Ferner sind die Angaben der Beschwerdeführerin anlässlich der polizeilichen Einvernahme, dass sie nicht wisse für was die vielen Kondome, Feucht- und Badetücher gebraucht würden und sie nichts zu tun habe mit den Listen mit Umsatzzahlen, unglaubhaft (vgl. Kant.-Act. S. 27). Selbst wenn sie sich tatsächlich nicht prostituiert hätte, wovon nicht ausgegangen wird, hätte sie mitbekommen müssen, was sich in der Wohnung abspielte. Insbesondere auch, weil angeblich zu jeder Tages- und Nachtzeit Männer an der Haustüre klingelten. Zusätzlich hatte sie Kontakt mit einem Mann, mit welchem die andere Frau, welche in der Wohnung angetroffen wurde, ebenfalls Kontakt hatte. Dies deutet auf ein planmässiges Vorgehen hin. Ins Bild passt dabei auch das polizeilich sichergestellte Halbtaxabonnement, ausgestellt auf die Beschwerdeführerin und gültig für ein Jahr. Die Beschwerdeführerin gibt an, seit 2012 verschiedene Länder zu bereisen, um unterschiedliche Kulturen kennenzulernen und zahlreiche Sehenswürdigkeiten zu besichtigen. Tatsache ist jedoch, dass sie bereits zwei Mal in den Niederlanden war (2014 und 2015) und je einmal die Schweiz (2015) sowie Kanada (2014) besuchte (vgl. SEM-act. 4). Sie reist somit nicht bereits seit 2012 umher und nicht immer in verschiedene Länder und Kulturen. Aufgrund der gesamten Indizienlage ist davon auszugehen, dass die Beschwerdeführerin ohne Bewilligung erwerbstätig war. 4.6 Davon ist im Übrigen auch die strafurteilende Behörde ausgegangen, wurde die Beschwerdeführerin doch mit Strafbefehl der Staatsanwaltschaft Abteilung 1 Luzern vom 10. Februar 2015 wegen rechtswidriger Einreise in die Schweiz und rechtswidrigen Aufenthaltes in der Schweiz sowie Ausübens einer Erwerbstätigkeit ohne Bewilligung, begangen vom 3. bis 6. Februar 2015, verurteilt (zur Bindung der Administrativbehörde an die Erkenntnis der strafurteilenden Behörde vgl. Urteil des BVGer C-3333/2011 vom 19. September 2013 E. 7.4). 4.7 Die Beschwerdeführerin besass während ihres Aufenthaltes in der Schweiz zwar ein gültiges Schengen Visum, hat sich - entgegen ihrer Meinung - jedoch dennoch der rechtswidrigen Einreise und des rechtswidrigen Aufenthaltes schuldig gemacht, da sie offensichtlich in die Schweiz einreiste, um hier erwerbstätig zu sein (vgl. BGE 131 IV 174 E. 4.2.2 und 4.4). Des Weiteren scheint sie zu verkennen, dass die Anordnung eines Einreiseverbots, bei dem es sich - wie oben erwähnt - um eine rein präventivpolizeiliche Massnahme handelt (vgl. BGE 129 IV 246 E. 3.a S. 251 f. sowie Urteil des BVGer C-7068/2013 vom 19. Mai 2015 E. 5.5 m.H.), ohnehin kein (rechtskräftiges) Strafurteil voraussetzt. Entgegen ihrer Ansicht knüpft das Einreiseverbot nämlich nicht an die Erfüllung einer Strafnorm, sondern an das Vorliegen einer Polizeigefahr an. Ob eine solche besteht und wie sie zu gewichten ist, hat die Verwaltungsbehörde in eigener Kompetenz unter Zugrundelegung spezifisch ausländerrechtlicher Kriterien zu beurteilen. Entsprechend kann ein Einreiseverbot auch dann ergehen, wenn ein rechtskräftiges Strafurteil fehlt, sei es, weil ein Strafverfahren nicht eröffnet bzw. eingestellt wurde oder noch hängig ist (vgl. Urteil des BVGer C-7068/2013 vom 19. Mai 2015 E. 5.5 m. H.). 4.8 Durch die Erwerbstätigkeit ohne Bewilligung hat die Beschwerdeführerin ohne Zweifel den Fernhaltegrund nach Art. 67 Abs. 2 Bst. a AuG gesetzt. Die Verhängung eines Einreiseverbots erscheint somit als geboten.</w:t>
      </w:r>
    </w:p>
    <w:p>
      <w:r>
        <w:rPr>
          <w:b/>
        </w:rPr>
        <w:t>E. 5.1</w:t>
      </w:r>
    </w:p>
    <w:p>
      <w:r>
        <w:t>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bspw. Häfelin / Müller / Uhlmann, Allgemeines Verwaltungsrecht, 6. Aufl., Zürich und St. Gallen 2010, Rz. 613 f.).</w:t>
      </w:r>
    </w:p>
    <w:p>
      <w:r>
        <w:rPr>
          <w:b/>
        </w:rPr>
        <w:t>E. 5.2</w:t>
      </w:r>
    </w:p>
    <w:p>
      <w:r>
        <w:t>Das Bundesverwaltungsgericht betrachtet es als erstellt, dass die Beschwerdeführerin hierzulande einer Erwerbstätigkeit ohne Bewilligung nachgegangen ist. Dieses Fehlverhalten wiegt objektiv nicht leicht. Den ausländerrechtlichen Normen kommt im Interesse einer funktionierenden Rechtsordnung grundsätzlich eine zentrale Bedeutung zu. Namentlich das generalpräventiv motivierte Interesse, die ausländerrechtliche Ordnung durch eine konsequente Massnahmenpraxis zu schützen, ist als gewichtig einzustufen (vgl. dazu Urteil des BGer 2C_948/2011 vom 11. Juli 2012 E. 3.4.2 in fine). Überdies liegt eine spezialpräventive Zielsetzung der Massnahme darin, dass sie die Betroffene ermahnt, bei einer allfälligen künftigen Wiedereinreise in die Schweiz nach Ablauf der Dauer des Einreiseverbots die für sie geltenden Regeln einzuhalten (vgl. hierzu Urteil des BVGer C 6993/2014 vom 30. März 2015 E. 5.2 m.H.). Vorliegend besteht somit ein gewichtiges öffentliches Interesse an der Fernhaltung der Beschwerdeführerin.</w:t>
      </w:r>
    </w:p>
    <w:p>
      <w:r>
        <w:rPr>
          <w:b/>
        </w:rPr>
        <w:t>E. 5.3</w:t>
      </w:r>
    </w:p>
    <w:p>
      <w:r>
        <w:t>Zusammenfassend ist festzustellen, dass das auf zwei Jahre befristete Einreiseverbot eine verhältnismässige und angemessene Massnahme zum Schutz der öffentlichen Sicherheit und Ordnung darstellt.</w:t>
      </w:r>
    </w:p>
    <w:p>
      <w:r>
        <w:rPr>
          <w:b/>
        </w:rPr>
        <w:t>E. 6</w:t>
      </w:r>
    </w:p>
    <w:p>
      <w:r>
        <w:t>Die Vorinstanz hat mit der angefochtenen Verfügung Bundesrecht nicht verletzt und den rechtserheblichen Sachverhalt richtig und vollständig festgestellt. Die Verfügung ist auch angemessen (Art. 49 VwVG). Die Beschwerde ist daher abzuweisen.</w:t>
      </w:r>
    </w:p>
    <w:p>
      <w:r>
        <w:rPr>
          <w:b/>
        </w:rPr>
        <w:t>E. 7</w:t>
      </w:r>
    </w:p>
    <w:p>
      <w:r>
        <w:t>Entsprechend dem Ausgang des Verfahrens sind der Beschwerdeführerin die Kosten aufzuerlegen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