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C-1608/2011 vom 2. September 2011</w:t>
      </w:r>
    </w:p>
    <w:p>
      <w:r>
        <w:t>Bundesverwaltungsgericht, 2011-09-02, DE</w:t>
      </w:r>
    </w:p>
    <w:p>
      <w:r>
        <w:rPr>
          <w:b/>
        </w:rPr>
        <w:t xml:space="preserve">Quelle: </w:t>
      </w:r>
      <w:r>
        <w:t>https://mcp.opencaselaw.ch/entscheid/bvger_C-1608_2011</w:t>
      </w:r>
    </w:p>
    <w:p>
      <w:r>
        <w:t>FR: TAF C-1608/2011 du 2 septembre 2011</w:t>
      </w:r>
    </w:p>
    <w:p>
      <w:r>
        <w:t>IT: TAF C-1608/2011 del 2 settembre 2011</w:t>
      </w:r>
    </w:p>
    <w:p>
      <w:pPr>
        <w:pStyle w:val="Heading2"/>
      </w:pPr>
      <w:r>
        <w:t>Regeste</w:t>
      </w:r>
    </w:p>
    <w:p>
      <w:r>
        <w:t>Freiwillige Versicherung</w:t>
      </w:r>
    </w:p>
    <w:p>
      <w:pPr>
        <w:pStyle w:val="Heading2"/>
      </w:pPr>
      <w:r>
        <w:t>Erwägungen</w:t>
      </w:r>
    </w:p>
    <w:p>
      <w:r>
        <w:rPr>
          <w:b/>
        </w:rPr>
        <w:t>E. 1</w:t>
      </w:r>
    </w:p>
    <w:p>
      <w:r>
        <w:t>Das Bundesverwaltungsgericht beurteilt gemäss Art. 31 des Verwaltungsgerichtsgesetzes vom 17. Juni 2005 (VGG, SR 173.32) in Verbindung mit Art. 85bis Abs. 1 AHVG Beschwerden von Personen im Ausland gegen Verfügungen der Schweizerischen Ausgleichskasse. Es liegt keine Ausnahme im Sinn von Art. 32 VGG vor. Das Bundesverwaltungsgericht ist somit zur Beurteilung der vorliegenden Beschwerde zuständig.</w:t>
      </w:r>
    </w:p>
    <w:p>
      <w:r>
        <w:rPr>
          <w:b/>
        </w:rPr>
        <w:t>E. 1.1</w:t>
      </w:r>
    </w:p>
    <w:p>
      <w:r>
        <w:t>Die Beschwerdeführerin ist durch die angefochtene Verfügung besonders berührt und hat ein schutzwürdiges Interesse an deren Aufhebung oder Änderung. Sie ist daher zur Beschwerde legitimiert (Art. 48 Abs. 1 Bst. b und c des Bundesgesetzes vom 20. Dezember 1968 über das Verwaltungsverfahren [VwVG, SR 172.021]; vgl. auch Art. 59 des Bundesgesetzes vom 6. Oktober 2000 über den Allgemeinen Teil des Sozialversicherungsrechts [ATSG, SR 830.1]).</w:t>
      </w:r>
    </w:p>
    <w:p>
      <w:r>
        <w:rPr>
          <w:b/>
        </w:rPr>
        <w:t>E. 1.2</w:t>
      </w:r>
    </w:p>
    <w:p>
      <w:r>
        <w:t>Die Beschwerde wurde frist- und im Übrigen auch formgerecht eingereicht (Art. 50 Abs. 1 und Art. 52 Abs. 1 VwVG; vgl. auch Art. 60 ATSG), weshalb auf sie einzutreten ist.</w:t>
      </w:r>
    </w:p>
    <w:p>
      <w:r>
        <w:rPr>
          <w:b/>
        </w:rPr>
        <w:t>E. 2</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2.1</w:t>
      </w:r>
    </w:p>
    <w:p>
      <w:r>
        <w:t>Nach den allgemeinen intertemporalrechtlichen Regeln sind in verfahrensrechtlicher Hinsicht diejenigen Rechtssätze massgebend, die im Zeitpunkt der Beschwerdebeurteilung Geltung haben (BGE 130 V 1 E. 3.2), unter Vorbehalt der spezialgesetzlichen Übergangsbestimmungen. Das Verfahren vor dem Bundesverwaltungsgericht richtet sich im Wesentlichen nach den Vorschriften des VGG, des VwVG (Art. 37 VGG) sowie des ATSG. Nach Art. 3 Bst. dbis VwVG findet das VwVG keine Anwendung in Sozialversicherungssachen, soweit das ATSG anwendbar ist. Gemäss Art. 1 Abs. 1 AHVG sind die Bestimmungen des ATSG auf die im ersten Teil geregelte Alters- und Hinterlassenenversicherung anwendbar, soweit das AHVG nicht ausdrücklich eine Abweichung vom ATSG vorsieht.</w:t>
      </w:r>
    </w:p>
    <w:p>
      <w:r>
        <w:rPr>
          <w:b/>
        </w:rPr>
        <w:t>E. 2.2</w:t>
      </w:r>
    </w:p>
    <w:p>
      <w:r>
        <w:t>In materiellrechtlicher Hinsicht sind grundsätzlich diejenigen Rechtssätze massgebend, die bei der Erfüllung des zu Rechtsfolgen führenden Sachverhalts Geltung haben (BGE 130 V 329 E. 2.3).</w:t>
      </w:r>
    </w:p>
    <w:p>
      <w:r>
        <w:rPr>
          <w:b/>
        </w:rPr>
        <w:t>E. 3</w:t>
      </w:r>
    </w:p>
    <w:p>
      <w:r>
        <w:t>Vorliegend streitig und daher im Folgenden zu prüfen ist, ob die SAK die Beschwerdeführerin zu Recht aus der freiwilligen Versicherung ausgeschlossen hat, und in diesem Zusammenhang insbesondere die Frage, ob die Beschwerdeführerin vor dem Ausschluss aus der freiwilligen Versicherung ordentlich gemahnt worden ist.</w:t>
      </w:r>
    </w:p>
    <w:p>
      <w:r>
        <w:rPr>
          <w:b/>
        </w:rPr>
        <w:t>E. 3.1</w:t>
      </w:r>
    </w:p>
    <w:p>
      <w:r>
        <w:t>Versicherte, die die nötigen Auskünfte nicht erteilen oder ihre Beiträge nicht fristgerecht bezahlen, werden aus der freiwilligen Versicherung ausgeschlossen (Art. 2 Abs. 3 AHVG). Gemäss Abs. 6 erlässt der Bundesrat ergänzende Bestimmungen über die freiwillige Versicherung, namentlich über den Beitritt, den Rücktritt und den Ausschluss sowie die Erhebung der Beiträge und die Gewährung der Leistungen; er kann die Dauer der Beitragspflicht, die Berechnung der Beiträge sowie den Beitragsbezug den Besonderheiten der freiwilligen Versicherung anpassen. Gestützt auf diese Bestimmung hat der Bundesrat die VFV erlassen.</w:t>
      </w:r>
    </w:p>
    <w:p>
      <w:r>
        <w:rPr>
          <w:b/>
        </w:rPr>
        <w:t>E. 3.2</w:t>
      </w:r>
    </w:p>
    <w:p>
      <w:r>
        <w:t>Art. 13 VFV regelt die Voraussetzungen des Ausschlusses aus der freiwilligen Versicherung. Danach werden Versicherte unter anderem ausgeschlossen, wenn sie ihren Jahresbeitrag bis zum 31. Dezember des folgenden Kalenderjahres nicht vollständig bezahlen (Art. 13 Abs. 1 Bst. a VFV). Werden fällige Beiträge nicht bezahlt, so ist innert zweier Monate schriftlich unter Ansetzung einer Nachfrist von 30 Tagen zu mahnen. Wird auch die Nachfrist nicht eingehalten, so hat die Ausgleichskasse eine letzte Zahlungsfrist anzusetzen und auf die Folgen der Nichtzahlung aufmerksam zu machen (Art. 17 Abs. 2 VFV). Die Ausgleichskasse hat den Versicherten eine Mahnung mit Androhung des Ausschlusses eingeschrieben zuzustellen (Art. 13 Abs. 2 VFV). Diese eingeschriebene Mahnung mit Androhung des Ausschlusses kann mit der letzten Zahlungsaufforderung gemäss Art. 17 Abs. 2 zweiter Satz erfolgen (Art. 13 Abs. 2 VVF).</w:t>
      </w:r>
    </w:p>
    <w:p>
      <w:r>
        <w:rPr>
          <w:b/>
        </w:rPr>
        <w:t>E. 3.3</w:t>
      </w:r>
    </w:p>
    <w:p>
      <w:r>
        <w:t>Nach der bundesgerichtlichen Rechtsprechung stellt der Ausschluss aus der freiwilligen Versicherung einen schwerwiegenden Eingriff in die Rechtsstellung des Betroffenen dar. Der vom Ausschluss bedrohte Versicherte muss daher genau wissen, welchen Betrag er zu bezahlen hat und bis zu welchem Datum dieser bei der SAK einzugehen hat, damit er den Ausschluss abwenden kann. Aus diesem Grund wurde in Art. 13 Abs. 2 VFV festgelegt, dass eine eingeschriebene Mahnung vor Ablauf der in Art. 13 Abs. 1 VFV vorgesehenen Frist ergehen muss (BGE 117 V 97 E. 2c, bestätigt mit Urteil H 224/04 vom 28. April 2005 E. 4.3).</w:t>
      </w:r>
    </w:p>
    <w:p>
      <w:r>
        <w:rPr>
          <w:b/>
        </w:rPr>
        <w:t>E. 3.4</w:t>
      </w:r>
    </w:p>
    <w:p>
      <w:r>
        <w:t>Der Beweis der Tatsache sowie des Zeitpunkts der Zustellung obliegt der Verwaltung. Weil der Sozialversicherungsprozess von der Untersuchungsmaxime beherrscht wird, handelt es sich dabei nicht um die subjektive Beweisführungslast (Art. 8 des Schweizerischen Zivilgesetzbuchs vom 10. Dezember 1907 [ZGB, SR 210]), sondern in der Regel nur um die objektive Beweislast in dem Sinne, dass im Fall der Beweislosigkeit der Entscheid zu Ungunsten jener Partei ausfällt, die aus dem unbewiesen gebliebenen Sachverhalt Rechte ableiten wollte (BGE 103 V 63 E. 2a mit weiteren Hinweisen). Entscheidend ist, dass an die Nichtbeachtung der unter Androhung des Ausschlusses erfolgenden Mahnungen schwerwiegende Folgen geknüpft sind, weshalb auch an den Nachweis der ordnungsgemässen Zustellung der Mahnungen hohe Anforderungen zu stellen sind. Der AHV-Dienst kann sich den Nachweis der Zustellung eingeschriebener Sendungen durch Empfangsbescheinigungen sichern, was mit der Grund dafür ist, dass die unter Androhung des Ausschlusses erforderliche Mahnung mit eingeschriebenem Brief zu erfolgen hat.</w:t>
      </w:r>
    </w:p>
    <w:p>
      <w:r>
        <w:rPr>
          <w:b/>
        </w:rPr>
        <w:t>E. 3.4.1</w:t>
      </w:r>
    </w:p>
    <w:p>
      <w:r>
        <w:t>Die Vorinstanz bringt vor, die gesetzlich vorgesehene Ausschlussprozedur eingehalten zu haben. Am 29. Januar 2010 sei die erste Mahnung verschickt und am 30. April 2010 sei die zweite erlassen und am 4. Mai 2010 sodann verschickt worden (BVGer act. 3, 5).</w:t>
      </w:r>
    </w:p>
    <w:p>
      <w:r>
        <w:rPr>
          <w:b/>
        </w:rPr>
        <w:t>E. 3.4.2</w:t>
      </w:r>
    </w:p>
    <w:p>
      <w:r>
        <w:t>In den vorliegenden Akten befindet sich das in französischer Sprache verfasste Schreiben der Vorinstanz vom 29. Januar 2010, worin die Beschwerdeführerin erstmals gemahnt worden ist (act. 4). In einem zweiten eingeschriebenen, ebenfalls in französischer Sprache verfassten Mahnschreiben vom 30. April 2010, versendet am 4. Mai 2010, wurde der Beschwerdeführerin eine letzte Frist eingeräumt, innert 30 Tagen die geschuldeten Beiträge zu leisten. Bei Nichtbezahlen des geschuldeten Betrages für das Kalenderjahr bis am 31. Dezember des Folgejahres wurde explizit mit dem Ausschluss aus der freiwilligen Versicherung gedroht. Dem Mahnschreiben war ein Kontoauszug mit dem fälligen Betrag beigelegt. Am 14. Januar 2011 erliess die Vorinstanz dann die Ausschlussverfügung (act. 9).</w:t>
      </w:r>
    </w:p>
    <w:p>
      <w:r>
        <w:rPr>
          <w:b/>
        </w:rPr>
        <w:t>E. 3.4.3</w:t>
      </w:r>
    </w:p>
    <w:p>
      <w:r>
        <w:t>Die Beschwerdeführerin machte im Rahmen der Beschwerde geltend, die zweite Mahnung nie erhalten zu haben. Zudem habe sie verschiedentlich gebeten, ihr die Korrespondenz auf Deutsch zuzustellen. Aus den Akten geht nicht hervor, ob der Beschwerdeführerin die zweite eingeschriebene Mahnung vor Erlass der Ausschlussverfügung zugestellt werden konnte. Einen Zustellnachweis dieser Postsendung konnte die Vorinstanz nicht erbringen.</w:t>
      </w:r>
    </w:p>
    <w:p>
      <w:r>
        <w:rPr>
          <w:b/>
        </w:rPr>
        <w:t>E. 3.4.4</w:t>
      </w:r>
    </w:p>
    <w:p>
      <w:r>
        <w:t>Das Bundesverwaltungsgericht kommt somit zum Schluss, dass die Vorinstanz den Nachweis nicht erbringen kann, dass die Voraussetzungen für einen Ausschluss aus der freiwilligen Versicherung erfüllt sind, weshalb die Beschwerde gutzuheissen und der Einspracheentscheid vom 18. Februar 2011 aufzuheben ist. Die Beschwerdeführerin bleibt weiterhin der freiwilligen Versicherung unterstellt. Die Sache ist an die SAK zurückzuweisen, damit diese die Beschwerdeführerin nachweisbar auffordert, die fehlenden Unterlagen einzureichen, verbunden mit der Androhung des Ausschlusses, falls dieser Aufforderung nicht fristgerecht nachgekommen wird.</w:t>
      </w:r>
    </w:p>
    <w:p>
      <w:r>
        <w:rPr>
          <w:b/>
        </w:rPr>
        <w:t>E. 4</w:t>
      </w:r>
    </w:p>
    <w:p>
      <w:r>
        <w:t>Das Verfahren ist für die Parteien kostenlos (Art. 85bis Abs. 2 AHVG). Da der obsiegenden Beschwerdeführerin, welche nicht berufsmässig vertreten war, keine verhältnismässig hohen Kosten entstanden sind und diese zu Recht auch keinen entsprechenden Antrag gestellt hat, ist keine Parteientschädigung zuzusprechen (Art. 64 Abs. 1 VwVG und Art. 7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