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C-1595/2012 vom 7. März 2013</w:t>
      </w:r>
    </w:p>
    <w:p>
      <w:r>
        <w:t>Bundesverwaltungsgericht, 2013-03-07, IT</w:t>
      </w:r>
    </w:p>
    <w:p>
      <w:r>
        <w:rPr>
          <w:b/>
        </w:rPr>
        <w:t xml:space="preserve">Quelle: </w:t>
      </w:r>
      <w:r>
        <w:t>https://mcp.opencaselaw.ch/entscheid/bvger_C-1595_2012</w:t>
      </w:r>
    </w:p>
    <w:p>
      <w:r>
        <w:t>FR: TAF C-1595/2012 du 7 mars 2013</w:t>
      </w:r>
    </w:p>
    <w:p>
      <w:r>
        <w:t>IT: TAF C-1595/2012 del 7 marzo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ricorrente ha versato l'anticipo di 400 franchi relativo alla presunte spese processuali, entro il termine impartito. Il gravame è dunque ammissibile, nulla ostando all'esame del merito dello stesso.</w:t>
      </w:r>
    </w:p>
    <w:p>
      <w:r>
        <w:rPr>
          <w:b/>
        </w:rPr>
        <w:t>E. 3.1</w:t>
      </w:r>
    </w:p>
    <w:p>
      <w:r>
        <w:t>Il ricorrente è cittadino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precisato che, a partire dal 1° gennaio 2012, la presente procedura è retta dalla LAI nel suo tenore modificato il 18 marzo 2011 (6a revisione), ritenuto tuttavia il principio secondo il quale le norme applicabili sono quelle in vigore al momento in cui dei fatti giuridicamente rilevanti si sono verificati (DTF 130 V 445 consid. 1.2). Ne consegue che il diritto alla rendita si esamina fino al 31 dicembre 2011 alla luce delle precedenti norme e, a partire da quella data, secondo le nuove disposizioni.</w:t>
      </w:r>
    </w:p>
    <w:p>
      <w:r>
        <w:rPr>
          <w:b/>
        </w:rPr>
        <w:t>E. 5</w:t>
      </w:r>
    </w:p>
    <w:p>
      <w:r>
        <w:t>Il periodo di cognizione giudiziaria dello scrivente Tribunale amministrativo federale si estende fino al 18 febbraio 2012, data dell'impugnata decisione. Il giudice delle assicurazioni sociali analizza, infatti, la legalità della decisione impugnata, in generale, secondo lo stato di fatto esistente al momento in cui la decisione in lite è stata resa (DTF 136 V 24 consid. 4.3).</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8.1</w:t>
      </w:r>
    </w:p>
    <w:p>
      <w:r>
        <w:t>Nel caso in esame il ricorrente soffre di diabete mellito tipo II non complicato, spondilodiscoartrosi diffusa e gonartrosi bilaterale con discreto impegno funzionale, esiti di pregressa frattura composta II, III, IV metatarso piede sinistro, cataratta in OO trattata chirurgicamente, ipertensione arteriosa" (cfr. perizia del 30 giugno 2011). La documentazione oggettiva, segnatamente l'elettromiografia del 21 aprile 2011, fa stato anche di un danno neurogeno di tipo assonale tibiale anteriore destro e sinistro e gastrocnemio mediale destro da sofferenza radicolare destra L4-L5-S1, sindrome d'intrappolamento del nervo ulnare di destra al gomito con reperto di netto danno neurogeno e ricca denervazione nel I interosseo dorsale omolaterale, danno neurogeno nel bicipite destro e sinistro e nel deltoide destro da sofferenza radicolare C5-C6. Tali elementi diagnostici vengono ripresi anche dalla Dott.ssa De Fabrizio nella sua perizia medico-legale del 12 marzo 2012 (esibita con il ricorso) e 11 settembre successivo (replica).</w:t>
      </w:r>
    </w:p>
    <w:p>
      <w:r>
        <w:rPr>
          <w:b/>
        </w:rPr>
        <w:t>E. 8.2</w:t>
      </w:r>
    </w:p>
    <w:p>
      <w:r>
        <w:t>Non concordi sono i pareri circa le ripercussioni invalidanti delle menzionate affezioni. Da una parte il medico dell'INPS pone un tasso d'invalidità limitato al 45%, pur annotando che il paziente sarebbe in grado di svolgere un'attività adeguata alle sue condizioni di salute (doc. 5, pag. 23). Dal canto suo, il Dott. Marty, dell'UAIE, pur costatando che l'interessato lavora, ritiene che comunque egli potrebbe svolgere a tempo pieno attività più leggere. Di contro, la Dott.ssa De Fabrizio, medico-legale, nei suoi rapporti esibiti in sede ricorsuale e di replica, ritiene il paziente invalido ad almeno il 60% anche in attività di sostituzione. Ora, non è necessario, nella presente specie, dirimere le divergenze fra le diverse valutazioni sanitarie contenute sia nell'incarto di istruttoria che in quello di ricorso (Dott.ssa De Fabrizio in particolare) per i motivi indicati nel prossimo considerando.</w:t>
      </w:r>
    </w:p>
    <w:p>
      <w:r>
        <w:rPr>
          <w:b/>
        </w:rPr>
        <w:t>E. 9.1</w:t>
      </w:r>
    </w:p>
    <w:p>
      <w:r>
        <w:t>La nozione d'invalidità di cui all'art. 4 LAI e 8 LPGA è di carattere giuridico economico, non medico (DTF 116 V 249 consid. 1b). In base all'art. 16 LPGA, applicabile per il rinvio dell'art.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Solo 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9.2</w:t>
      </w:r>
    </w:p>
    <w:p>
      <w:r>
        <w:t>In base al certificato di lavoro emesso il 13 settembre 2011 (doc. 27), A._______, assunto da un'impresa edile locale nel 1998, ha sempre svolto le sue mansioni di operaio edile in misura di 40 ore giornaliere. Questa occupazione ha potuto essere esercitata fino al 6 giugno 2011. Per motivi di salute, il datore di lavoro ha mutato le mansioni del proprio dipendente da operaio edile a "lavori di pittura". Questo riclassamento in sede all'azienda non ha comportato alcuna perdita di guadagno da parte del lavoratore, che è rimasto di 11,19 Euro all'ora, pari a 1'708,75 Euro al mese (valori del 2011). L'attività di sostituzione, verosimilmente più leggera (cfr. cifra 7 del questionario), è stata iniziata il 29 agosto 2011. Per quanto concerne le assenze dal lavoro da imputare a motivi di salute, si osserva che esse si sono protratte (a partire dal 2011, il periodo precedente essendo del tutto irrilevante ai fini assicurativi) dal 14 marzo al 24 maggio 2011 (71 giorni) e dal 6 giugno al 22 agosto 2011 (78 giorni). Con l'aggiornamento chiesto dallo scrivente Tribunale amministrativo federale (doc. 17 TAF), dopo quelle menzionate, risultano ulteriori assenze dal 19 al 21 marzo 2012 e dal 9 gennaio al 31 gennaio 2013. Queste due ultime assenze esulano tuttavia dal periodo di cognizione giudiziaria, limitato, come ricordato, alla data dell'impugnata decisione (consid. 5). I periodi d'assenze da imputare a malattia, pur sommati, non costituiscono un'invalidità ai sensi della LAI, poiché non si tratta di incapacità di lavoro del 40% almeno per un anno senza notevole interruzione (consid. 7.2). Il datore di lavoro non ha menzionato né nel questionario sottoscritto il 13 settembre 2011, né in quello del 1° marzo 2013, che al dipendente sia stato ridotto il salario dopo il riclassamento in "lavori di pittura" (agosto 2011). Non risulta da nessun documento che l'attuale attività costante e peraltro non interrotta da frequenti e/o prolungate assenze da imputare a malattia, sia svolta in usura e nemmeno il datore di lavoro ha sostenuto che il lavoratore offra uno scarso rendimento generale. Non è neppure emerso che l'attuale retribuzione dell'interessato sia erogata solo per dei motivi sociali. Non risulta infine che A._______ sia stato licenziato. Egli è tutt'ora in forza presso lo stesso datore di lavoro. Queste risultanze di carattere economico-lavorativo smentiscono pertanto le affermazioni del ricorrente che sostiene di non essere più in grado di svolgere attività di ogni sorta.</w:t>
      </w:r>
    </w:p>
    <w:p>
      <w:r>
        <w:rPr>
          <w:b/>
        </w:rPr>
        <w:t>E. 9.3</w:t>
      </w:r>
    </w:p>
    <w:p>
      <w:r>
        <w:t>Da quanto precede, ne consegue che, nonostante le lamentate affezioni che di principio non sono contestate, A._______ ha dimostrato, con comportamento concludente, di avere posto ad utile profitto in occupazione confacente alle sue attitudini la sua superstite energia lavorativa in misura superiore al 60%. La continuità dell'attività in questione, almeno fino al 16 febbraio 2012 (data dell'impugnata decisione), le scarse e, tutto sommato, non prolungate assenze dal lavoro, dimostrano l'esigibilità di tale attuale attività. In proposito va ricordato che, 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al lavoro, se necessario in una nuova professione (DTF 130 V 97 consid. 3.2 con i rif.). L'insorgente ha comunque la possibilità di inoltrare una nuova domanda di rendita se ritiene che le condizioni per avere diritto a una rendita si sono realizzate dopo la data della decisione impugnata.</w:t>
      </w:r>
    </w:p>
    <w:p>
      <w:r>
        <w:rPr>
          <w:b/>
        </w:rPr>
        <w:t>E. 10.1</w:t>
      </w:r>
    </w:p>
    <w:p>
      <w:r>
        <w:t>In queste circostanze, il ricorso deve essere respinto e l'impugnata decisione confermata. Il ricorso in esame può essere risolto da un giudice unico in applicazione dell'art. 69 cpv. 2 LAI.</w:t>
      </w:r>
    </w:p>
    <w:p>
      <w:r>
        <w:rPr>
          <w:b/>
        </w:rPr>
        <w:t>E. 10.2</w:t>
      </w:r>
    </w:p>
    <w:p>
      <w:r>
        <w:t>Le spese processuali, ammontanti a Fr. 400.-, sono poste a carico del ricorrente e vengono compensate con l'anticipo versato il 5 dicembre 2012.</w:t>
      </w:r>
    </w:p>
    <w:p>
      <w:r>
        <w:rPr>
          <w:b/>
        </w:rPr>
        <w:t>E. 10.3</w:t>
      </w:r>
    </w:p>
    <w:p>
      <w:r>
        <w:t>Visto l'esito del ricorso non si assegnano indennità per spese ripetibili.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