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C-1594/2020 vom 30. Juli 2021</w:t>
      </w:r>
    </w:p>
    <w:p>
      <w:r>
        <w:t>Bundesverwaltungsgericht, 2021-07-30, IT</w:t>
      </w:r>
    </w:p>
    <w:p>
      <w:r>
        <w:rPr>
          <w:b/>
        </w:rPr>
        <w:t xml:space="preserve">Quelle: </w:t>
      </w:r>
      <w:r>
        <w:t>https://mcp.opencaselaw.ch/entscheid/bvger_C-1594_2020</w:t>
      </w:r>
    </w:p>
    <w:p>
      <w:r>
        <w:t>FR: TAF C-1594/2020 du 30 juillet 2021</w:t>
      </w:r>
    </w:p>
    <w:p>
      <w:r>
        <w:t>IT: TAF C-1594/2020 del 30 luglio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e domiciliato in Italia, vi è inoltre un elemento transfrontaliero, avendo l'interessato lavorato in Svizzera (DTF 143 V 81 consid. 8.3 con rinvii, 143 II 57 e 141 V 521 consid. 4.3.2 nonché, tra le altre, le sentenze della CGUE del 5 maggio 2011 C-434/09 McCarthy, punto 45, e dell'11 ottobre 2001 C-95/99 a 98/99 e C-180/99 Khalil et aliud, punto 69) per cui è applicabile, di principio l'Accordo tra la Confederazione Svizzera, da una parte,e la Comunità europea ed i suoi Stati membri, dall'altra, sulla libera circolazione delle persone (ALC;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Litigioso è il diritto, o meno, del ricorrente ad una rendita d'invalidità anche dopo il 1° aprile 2020, in particolare contestata è l'evoluzione dello stato di salute e della capacità lavorativa in attività adeguate. Non risulta invece censurata la totale e definitiva incapacità lavorativa nella precedente attività lavorativa di carpentiere/operaio edile, che è stata (ri)confermata dall'UAIE nel provvedimento impugnato. Tale censura del ricorrente non verrà dunque ulteriormente approfondita nel presente giudizio, non essendovi un interesse degno di protezione in tal senso.</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in vigore dal 1° gennaio 2012 (v. altresì DTF 130 V 1 consid. 3.2 per quanto concerne le disposizioni formali della LPGA, immediatamente applicabili con la loro entrata in vigore) nonché le ulteriori nuove norme entrate in vigore fino alla data della decisione impugnata.</w:t>
      </w:r>
    </w:p>
    <w:p>
      <w:r>
        <w:rPr>
          <w:b/>
        </w:rPr>
        <w:t>E. 4.2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5.1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Irrilevante è, altresì, una diversa valutazione di una fattispecie restata sostanzialmente immutata (DTF 131 V 84 consid. 3; sentenza del TF 8C_534/2014 del 13 agosto 2014 consid. 3.2 e 8C_624/2011 del 2 novembre 2011 consid. 2 nonché relativi riferimenti).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6.4</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137 V 210 consid. 1.3.4; 134 V 231 consid. 5.1; 125 V 351 consid. 3b con rinvii).</w:t>
      </w:r>
    </w:p>
    <w:p>
      <w:r>
        <w:rPr>
          <w:b/>
        </w:rPr>
        <w:t>E. 6.5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6.6</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7.1</w:t>
      </w:r>
    </w:p>
    <w:p>
      <w:r>
        <w:t>Alfine di accertare se il grado d'invalidità si è modificato in maniera tale da influire sul diritto alle prestazioni, si deve confrontare, da un lato, la situazione di fatto determinante di cui all'ultima decisione cresciuta in giudicato che è stata oggetto di un esame materiale del diritto alla rendita dopo contestuale accertamento pertinente dei fatti, apprezzamento delle prove e confronto dei redditi, e, dall'altro lato, la situazione vigente all'epoca del provvedimento litigioso (DTF 140 V 514 consid. 5.2 e 133 V 108 consid. 5).</w:t>
      </w:r>
    </w:p>
    <w:p>
      <w:r>
        <w:rPr>
          <w:b/>
        </w:rPr>
        <w:t>E. 7.2</w:t>
      </w:r>
    </w:p>
    <w:p>
      <w:r>
        <w:t>Nel caso di specie, e come rettamente rilevato nella decisione impugnata, il periodo determinante è quello intercorrente dal 14 gennaio 2005/24 marzo 2005 (date della decisione e della decisione su opposizione con cui l'UAI-B._______ ha in particolare accordato all'insorgente un quarto di rendita d'invalidità a decorrere dal 1° giugno 2004) e la data della decisione impugnata del 17 febbraio 2020 (doc. 154). Le comunicazioni dell'amministrazione del 17 luglio 2007 (doc. 42), del 25 maggio 2010 (doc. 75), del 16 maggio 2013 (doc. 91) e del 21 giugno 2016 (doc. 101) mediante le quali è stata confermata l'erogazione di un quarto di rendita, non sono infatti rilevanti in questo contesto, non essendo state precedute da un esame materiale del diritto alla rendita dopo contestuale accertamento pertinente dei fatti e determinazione del grado d'invalidità mediante raffronto dei redditi.</w:t>
      </w:r>
    </w:p>
    <w:p>
      <w:r>
        <w:rPr>
          <w:b/>
        </w:rPr>
        <w:t>E. 8</w:t>
      </w:r>
    </w:p>
    <w:p>
      <w:r>
        <w:t>Evoluzione dello stato di salute e della capacità lavorativa</w:t>
      </w:r>
    </w:p>
    <w:p>
      <w:r>
        <w:rPr>
          <w:b/>
        </w:rPr>
        <w:t>E. 8.1</w:t>
      </w:r>
    </w:p>
    <w:p>
      <w:r>
        <w:t>Nell'ambito della procedura avviata il 10 giugno 2002 e conclusasi con l'attribuzione di una rendita d'invalidità intera dal 1° maggio 2002 al 31 agosto 2003 ed un quarto di rendita a decorrere dal 1° giugno 2004, l'autorità cantonale si è fondata sia sulla documentazione della SUVA, sia su accertamenti sanitari propri (doc. 19 e segg.). Fra gli atti figura: - il rapporto medico del 1° luglio 2002, con cui il dott. E._______, specialista in chirurgia ortopedica, ha posto la diagnosi di lussazione recidivante di entrambe le spalle con interventi di stabilizzazione, precisando che una ripresa del precedente lavoro non era esigibile ma che l'esercizio di un'attività adeguata era perfettamente possibile (doc. 33); - il rapporto SMR del 15 novembre 2002, con cui il dott. F._______, la cui specializzazione non è nota, ha attestato un'incapacità lavorativa totale nella precedente attività ed una piena capacità lavorativa in attività adeguate (ridotto sforzo fisico, senza attività con uso della forza al di sopra delle spalle; doc. 34); - l'esame medico finale della SUVA del 14 settembre 2004, con cui il dott. G._______, specialista in chirurgia ortopedica, ha rilevato che - oltre ai noti esiti delle lussazioni bilaterali - dalle radiografie effettuate risultava una sclerosi del trochite ed un'osteofitosi minima alla spalla sinistra. Alla spalla destra ha invece rilevato la presenza di un chiodo nella glena omerale ed una modesta osteofitosi. Lo specialista ha dunque confermato che la precedente attività di carpentiere non era più esigibile e che un'attività adeguata non doveva comportare una rotazione esterna della spalla superiore ai 30° a destra e 60° a sinistra e neppure movimenti ripetitivi sopra la testa o il porto di pesi sopra l'orizzontale (doc. 59 p. 22).</w:t>
      </w:r>
    </w:p>
    <w:p>
      <w:r>
        <w:rPr>
          <w:b/>
        </w:rPr>
        <w:t>E. 8.2</w:t>
      </w:r>
    </w:p>
    <w:p>
      <w:r>
        <w:t>Alla luce di quanto precede, nei menzionati provvedimenti del 14 gennaio 2005 e del 24 marzo 2005, l'UAI-B._______ ha constatato che a partire dal 22 maggio 2001 l'assicurato era completamente e definitivamente inabile nella precedente attività di carpentiere. In attività adeguate ha invece riconosciuto un'inabilità totale dal 22 maggio 2001 al 1° luglio 2002, seguita da una piena capacità lavorativa medico-teorica in attività adeguate (impiego poco fisico e che non necessita di fare forza con le braccia sopra l'orizzontale). Ha inoltre precisato che l'assicurato, a seguito della riqualifica professionale, nell'attività esercitata di operaio nell'eliografia era capace al lavoro all'85%. La riduzione del rendimento del 15% era riconducibile alla difficoltà di eseguire fotocopie di grandi piani d'architettura e al trasporto di cartoni: cfr. doc. 29 e 46 p. 31 e segg., cfr. anche doc. 25 e 47; consid. A.f).</w:t>
      </w:r>
    </w:p>
    <w:p>
      <w:r>
        <w:rPr>
          <w:b/>
        </w:rPr>
        <w:t>E. 9.1</w:t>
      </w:r>
    </w:p>
    <w:p>
      <w:r>
        <w:t>Nell'ambito della procedura di revisione avviata il 27 marzo 2019, l'UAIE ha dapprima assunto agli atti: - il referto del 24 aprile 2019 di ecografia muscolo tendinea alla spalla destra del dott. H._______, radiologo, in cui lo specialista ha constatato disomogeneità ecostrutturale del tendine del sottoscapolare con coesistente distensione fluida dei recessi atrosinoviali anteriori e della borsa SAD, modica disomogeneità del tendine del sovraspinoso e irregolare prominenza dei profili ostocapsulari dorsali dell'articolazione acromion-claveare (doc. 109); - la perizia particolareggiata E213 del 21 maggio 2019, in cui la dott.ssa C._______, dopo aver preso atto del menzionato referto ecografico del dott. H._______, ha constatato che rispetto alla precedente visita le condizioni di salute dell'assicurato erano migliorate ed ha posto le diagnosi di "lussazione bilaterale di spalla chirurgicamente trattata con attuale artropatia degenerativa su base artrosica e tendinopatia del sottoscapolare e sovraspinoso spalla dx, a moderata incidenza funzionale". Essa ha inoltre precisato che era in grado di svolgere regolarmente lavori pesanti senza limiti funzionali e che poteva svolgere a tempo pieno sia la sua precedente attività, sia un'attività adeguata (doc. 112).</w:t>
      </w:r>
    </w:p>
    <w:p>
      <w:r>
        <w:rPr>
          <w:b/>
        </w:rPr>
        <w:t>E. 9.2</w:t>
      </w:r>
    </w:p>
    <w:p>
      <w:r>
        <w:t>Preso atto delle valutazioni della dott.ssa C._______, con presa di posizione del 6 agosto 2019, il dott. D._______ del SMR ha dichiarato che lo stato di salute dell'interessato era all'evidenza migliorato ed ha confermato che era totalmente capace al lavoro in attività adeguate (ad esclusione dei lavori sopra la testa, sollevamento di massimo 15kg, senza movimenti ripetitivi). Il medico SMR ha nondimeno ritenuto che la precedente attività di carpentiere non era più indicata (doc. 115).</w:t>
      </w:r>
    </w:p>
    <w:p>
      <w:r>
        <w:rPr>
          <w:b/>
        </w:rPr>
        <w:t>E. 9.3</w:t>
      </w:r>
    </w:p>
    <w:p>
      <w:r>
        <w:t>Con referto relativo all'esame radiologico della colonna cervicale e lombo sacrale del 9 ottobre 2019, il dott. I._______, radiologo, ha rilevato "uncoartrosi. Fine osteofitosi somatomarginalea carico dei metameri cervicali e lombari con riduzione dello spazio intersomatico C3 - C4, C6-C7, L5-S1 da discopatia. Lieve scoliosi. Dx concavo lombare medio. Tendenza alla sacralizzazione di L5" (doc. 130).</w:t>
      </w:r>
    </w:p>
    <w:p>
      <w:r>
        <w:rPr>
          <w:b/>
        </w:rPr>
        <w:t>E. 9.4</w:t>
      </w:r>
    </w:p>
    <w:p>
      <w:r>
        <w:t>Con referto medico del 14 ottobre 2019, il dott. L._______, specialista in economia e management dei servizi sanitari, ha certificato che il paziente presentava: "esiti di intervento di stabilizzazione scapolo-omerale bilaterale per lussazione recidivante, con attuale tendinopatia del sottoscapolare, del sovraspinoso e borsite sad. presenza di artropatia degenerativa acromion-claveare ad impronta ipertrofica. In atto di evidenzia grave limitazione dell'articolarità delle spalle bilateralmente. Uncoartrosi colonna cervicale e lombare con osteofitosi. Riduzione dello spazio intersomatico a sedi multiple da discopatia cervicale, scoliosi dx concavo. Sacralizzazione di L5". Il medico ha pure indicato che tali patologie determinavano un'invalidità permanente pari al 55% (doc. 129).</w:t>
      </w:r>
    </w:p>
    <w:p>
      <w:r>
        <w:rPr>
          <w:b/>
        </w:rPr>
        <w:t>E. 9.5</w:t>
      </w:r>
    </w:p>
    <w:p>
      <w:r>
        <w:t>Con referto relativo all'esame radiologico delle spalle del 16 ottobre 2019, il dott. M._______, radiologo, ha rilevato "segni di artropatia acromion-claveare bilaterale. Lieve sclerosi del trochite di destra da modesta tendinopatia. Presenza di mezzo di sintesi metallico (chiodo) nel cavo ascellare di destra da pregresso intervento chirurgico. Segni di artrosi della scapolo-omerale sinistra con minuta osteofitosi del margine inferiore della glena e accenno alla osteofitosi pericefalica inferiore. Rime articolari gleno-omerali conservate" (doc. 132).</w:t>
      </w:r>
    </w:p>
    <w:p>
      <w:r>
        <w:rPr>
          <w:b/>
        </w:rPr>
        <w:t>E. 9.6</w:t>
      </w:r>
    </w:p>
    <w:p>
      <w:r>
        <w:t>Con presa di posizione medica SMR del 9 dicembre 2019 il dott. D._______ ha analizzato i referti medici trasmessi dall'assicurato, precisando che i medici consultati si erano limitati ad elencare le diagnosi, che sono compatibili con un impiego in attività adeguate rispettose delle note affezioni alle spalle. Egli ha dunque concluso che i documenti in questione non erano atti a mettere in dubbio le valutazioni della dott.ssa C._______ (doc. 144).</w:t>
      </w:r>
    </w:p>
    <w:p>
      <w:r>
        <w:rPr>
          <w:b/>
        </w:rPr>
        <w:t>E. 9.7</w:t>
      </w:r>
    </w:p>
    <w:p>
      <w:r>
        <w:t>Il 14 gennaio 2020 l'assicurato ha trasmesso la lettera di dimissione del 27 novembre 2019, da cui risulta un ricovero dal 12 novembre 2019 al 27 novembre 2019 presso il Grande Ospedale Metropolitano di (...) per un intervento di rimozione dei mezzi di sintesi in paziente già operato per lussazione abituale alla spalla destra (prognosi di 20 giorni). Egli ha pure trasmesso un certificato medico del dott. N._______, specialista in ortopedia e traumatologia, del 5 dicembre 2019, manoscritto ed in larga parte illeggibile (doc. 147 e segg.).</w:t>
      </w:r>
    </w:p>
    <w:p>
      <w:r>
        <w:rPr>
          <w:b/>
        </w:rPr>
        <w:t>E. 9.8</w:t>
      </w:r>
    </w:p>
    <w:p>
      <w:r>
        <w:t>L'UAIE ha nuovamente sottoposto i referti medici trasmessi al SMR. Con presa di posizione del 4 febbraio 2020 il dott. D._______ ha dichiarato che l'intervento subito giustificava un'incapacità lavorativa di massimo quattro settimane e che in seguito un'attività adeguata era nuovamente esigibile a tempo pieno. Egli ha pertanto confermato la presa di posizione medica del 6 agosto 2019 (doc. 152).</w:t>
      </w:r>
    </w:p>
    <w:p>
      <w:r>
        <w:rPr>
          <w:b/>
        </w:rPr>
        <w:t>E. 9.9</w:t>
      </w:r>
    </w:p>
    <w:p>
      <w:r>
        <w:t>Con rapporto del 16 marzo 2020 relativo alla risonanza magnetica della spalla destra, il dott. H._______, radiologo, ha in particolare rilevato esiti dei precedenti interventi chirurgici, segni di artropatia acromion-claveare e tendinopatia. Egli ha inoltre evidenziato la necessità di una valutazione ortopedica (doc. TAF 5).</w:t>
      </w:r>
    </w:p>
    <w:p>
      <w:r>
        <w:rPr>
          <w:b/>
        </w:rPr>
        <w:t>E. 10.1</w:t>
      </w:r>
    </w:p>
    <w:p>
      <w:r>
        <w:t>Nel caso in esame per quel che concerne le problematiche legate alle spalle, sia la dott.ssa C._______, sia il dott. D._______ hanno tenuto conto, da un lato, degli esiti delle lussazioni bilaterali trattate chirurgicamente e, dall'altro lato, anche dell'artropatia e della tendinopatia di cui soffre l'assicurato. Al riguardo entrambi i medici hanno ritenuto una limitata incidenza funzionale, in particolare per l'esercizio di attività adeguate. Il dott. D._______, alla luce delle menzionate diagnosi e dopo aver preso posizione in maniera specifica sui certificati medici prodotti, ha peraltro ribadito l'inesigibilità della precedente attività e di lavori che richiedono l'uso delle braccia al di sopra della testa, il sollevamento di pesi superiori ai 15kg o ancora movimenti ripetitivi (limitazioni simili a quelle descritte al momento dell'attribuzione della rendita; cfr. consid. A.i). Dal canto suo, il ricorrente ha unicamente trasmesso alcuni brevi e generici certificati che si limitano ad elencare e confermare le menzionate diagnosi. Egli non ha invece prodotto alcun atto medico contenente una diversa e motivata valutazione dei suoi limiti funzionali, rispettivamente della sua capacità lavorativa residua in attività adeguate, rispetto alla perizia particolareggiata E213 del 21 maggio 2019, confermata a più riprese anche dallo specialista in medicina fisica e riabilitativa del SMR e altresì in linea con le precedenti perizie particolareggiate E213 del 15 marzo 2013 e del 18 aprile 2016 nelle quali era già stata attestata una piena capacità lavorativa in qualsiasi attività (cfr. doc. 85 e 97). Pertanto, non vi è motivo per questa Corte di scostarsi dall'apprezzamento delle risultanze processuali di cui alla decisione impugnata.</w:t>
      </w:r>
    </w:p>
    <w:p>
      <w:r>
        <w:rPr>
          <w:b/>
        </w:rPr>
        <w:t>E. 10.2</w:t>
      </w:r>
    </w:p>
    <w:p>
      <w:r>
        <w:t>Per quel che concerne invece le affezioni alla colonna cervicale e lombare, dallo stringato referto medico del 9 ottobre 2019 del dott. I._______ risultano le diagnosi di artrosi cervicale con fine osteofitosi, lieve scoliosi e tendenza alla sacralizzazione di L5. Lo specialista in questione non ha indicato né limiti funzionali, né incapacità lavorativa in ragione di tali affezioni. Le affezioni in questione sono invece state valutate dal medico SMR, il quale ha rilevato che sono di entità minima e non comportano ulteriori limiti funzionali. Pertanto ha concluso che esse sono compatibili con un'attività adeguata a tempo pieno, senza essere atte a modificare le conclusioni della perizia E213 del 21 maggio 2019. Alla luce di quanto appena esposto si può ritenere che il ricorrente ha reso verosimile l'esistenza di una nuova diagnosi di natura ortopedico/reumatologica relativa alla colonna vertebrale (doc. TAF 5) tuttavia non che tale nuova affezione abbia un'incidenza superiore sulla capacità lavorativa in attività adeguate rispetto a quella attestata dal medico SMR e già preesistente. In simili condizioni le conclusioni dei dott.i C._______ e D._______, che hanno attestato una piena capacità lavorativa in attività adeguate, nel rispetto dei limiti funzionali elencati, vanno confermate.</w:t>
      </w:r>
    </w:p>
    <w:p>
      <w:r>
        <w:rPr>
          <w:b/>
        </w:rPr>
        <w:t>E. 10.3</w:t>
      </w:r>
    </w:p>
    <w:p>
      <w:r>
        <w:t>Per quel che attiene infine al ricovero ospedaliero dal 12 al 27 novembre 2019 con intervento di rimozione dei mezzi di sintesi della spalla destra, il medico dimettente ha posto una prognosi di venti giorni (doc. 148) e dagli atti all'incarto non risultano ulteriori complicazioni. Il dott. D._______ ha dunque ritenuto che in seguito ad un'incapacità lavorativa di massimo quattro settimane l'assicurato era nuovamente abile a tempo pieno in un'attività adeguata. Di conseguenza, tale intervento non è atto a far sorgere dubbi concreti in merito all'accertamento dei fatti effettuato nell'ambito della procedura di revisione in esame e la piena capacità lavorativa in attività adeguate va confermata.</w:t>
      </w:r>
    </w:p>
    <w:p>
      <w:r>
        <w:rPr>
          <w:b/>
        </w:rPr>
        <w:t>E. 10.4</w:t>
      </w:r>
    </w:p>
    <w:p>
      <w:r>
        <w:t>In conclusione, non è ravvisabile agli atti alcun referto medico consistente e convincente che offra indizi sufficienti per dover mettere in discussione l'accertamento dei fatti operato dall'autorità inferiore, fondato in particolare sulla perizia particolareggiata E213 del 21 maggio 2019, confermata per quanto riguarda la capacità lavorativa in attività adeguate, anche dalle numerose prese di posizione del dott. D._______. Tali conclusioni corrispondono pure alle valutazioni espresse dai medici nelle precedenti perizie particolareggiate E213 del 15 marzo 2013 e del 18 aprile 2016 (cfr. doc. 85 e 97). Non sussiste pertanto alcun motivo d'effettuare ulteriori accertamenti medici dal momento che dagli stessi non vi è da attendersi alcun nuovo elemento decisivo con riferimento alla situazione esistente fino alla data della decisione impugnata. In tale contesto, non soccorre il ricorrente neppure il riconoscimento di un grado di invalidità del 55% in Italia, poiché il sistema italiano è fondato su presupposti completamente diversi da quello svizzero.</w:t>
      </w:r>
    </w:p>
    <w:p>
      <w:r>
        <w:rPr>
          <w:b/>
        </w:rPr>
        <w:t>E. 10.5.1</w:t>
      </w:r>
    </w:p>
    <w:p>
      <w:r>
        <w:t>Risulta quindi provato con il grado della verosimiglianza preponderante valido nelle assicurazioni sociali che nelle precedenti attività di operaio edile/carpentiere l'assicurato è totalmente e durevolmente inabile dal 22 maggio 2001. In attività adeguate la capacità lavorativa, eccettuato per i limiti funzionali elencati (consid. 8.2), non è per contro limitata, fino alla data della decisione impugnata.</w:t>
      </w:r>
    </w:p>
    <w:p>
      <w:r>
        <w:rPr>
          <w:b/>
        </w:rPr>
        <w:t>E. 10.5.2</w:t>
      </w:r>
    </w:p>
    <w:p>
      <w:r>
        <w:t>Al riguardo va ancora rilevato che irrilevante è stabilire la capacità lavorativa nell'attività in cui l'assicurato si era integrato al momento dell'attribuzione della rendita nel 2005. Da anni infatti l'assicurato non svolge più tale attività, che era in ogni caso esercitata a tempo pieno con una riduzione del rendimento del 15% riconducibile a limiti funzionali simili a quelli indicati nel 2004 in attività adeguate e a quelli attestati attualmente dai medici interpellati (consid. A.i, 8.2, B.e e 10.1) e quindi nella stessa misura rispetto a quanto stabilito nella decisione impugnata (consid. B.e).</w:t>
      </w:r>
    </w:p>
    <w:p>
      <w:r>
        <w:rPr>
          <w:b/>
        </w:rPr>
        <w:t>E. 10.6</w:t>
      </w:r>
    </w:p>
    <w:p>
      <w:r>
        <w:t>In relazione allo stato di salute e alla capacità lavorativa la decisione impugnata va pertanto confermata.</w:t>
      </w:r>
    </w:p>
    <w:p>
      <w:r>
        <w:rPr>
          <w:b/>
        </w:rPr>
        <w:t>E. 11</w:t>
      </w:r>
    </w:p>
    <w:p>
      <w:r>
        <w:t>Capacità integrativa</w:t>
      </w:r>
    </w:p>
    <w:p>
      <w:r>
        <w:rPr>
          <w:b/>
        </w:rPr>
        <w:t>E. 11.1.1</w:t>
      </w:r>
    </w:p>
    <w:p>
      <w:r>
        <w:t>Prima di determinare il grado di invalidità occorre esaminare la capacità integrativa dell'assicurato, considerato il lungo lasso di tempo in cui è stata percepita la rendita.</w:t>
      </w:r>
    </w:p>
    <w:p>
      <w:r>
        <w:rPr>
          <w:b/>
        </w:rPr>
        <w:t>E. 11.1.2</w:t>
      </w:r>
    </w:p>
    <w:p>
      <w:r>
        <w:t>Conformemente alla giurisprudenza, infatti, prima di procedere alla diminuzione o soppressione di una rendita di invalidità a seguito di revisione occorre accertare se esiste un bisogno di reintegrazione, valutando se l'assicurato sia concretamente in grado di mettere a profitto la sua capacità di guadagno sul mercato del lavoro equilibrato (cfr. art. 7 e 16 LPGA e sentenza del TF 9C-163/2009 del 10 settembre 2010 consid. 4).</w:t>
      </w:r>
    </w:p>
    <w:p>
      <w:r>
        <w:rPr>
          <w:b/>
        </w:rPr>
        <w:t>E. 11.1.3</w:t>
      </w:r>
    </w:p>
    <w:p>
      <w:r>
        <w:t>In caso di revisione il Tribunale federale ha sottolineato che di regola la capacità lavorativa (completa o parziale)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sentenze del TF 9C-412/2014 del 20 ottobre 2014 e 8C-18/2013 del 23 aprile 2013 consid. 10). Questo è segnatamente il caso laddove l'assicurato ha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traduca effettivamente in un grado di invalidità inferiore oppure se, eccezionalmente, occorra procedere ad un esame dell'effettiva idoneità lavorativa. In tali casi la rendita di invalidità deve continuare ad essere versata fintanto che la capacità lavorativa medico-teorica può effettivamente essere sfruttato grazie all'introduzione di misure medico-riabilitative e/o provvedimenti di integrazione professionale (sentenze del TF 9C-412/2014 del 20 ottobre 2014, 8C-18/2013 del 23 aprile 2013 consid. 10, 9 C-848/2012 del 14 febbraio 2013, 9C_831/2010, 9C-768/2009 del 10 settembre 2010; SVR 2010 IV nr. 9 p. 27).</w:t>
      </w:r>
    </w:p>
    <w:p>
      <w:r>
        <w:rPr>
          <w:b/>
        </w:rPr>
        <w:t>E. 11.1.4</w:t>
      </w:r>
    </w:p>
    <w:p>
      <w:r>
        <w:t>Nel caso di assicurati che hanno beneficiato di una rendita per almeno quindici anni oppure hanno raggiunto l'età di 55 anni, il Tribunale federale ha ulteriormente precisato la sua giurisprudenza, indicando che in tali fattispecie la facoltà di autointegrarsi non può più essere presunta e che di regola saranno necessari provvedimenti professionali prima di poter ridurre, rispettivamente sopprimere la rendita. Le misure d'integrazione devono essere eseguite in anticipo e protrarsi fino a quando l'assicurato è in grado di sfruttare il potenziale lavorativo attestato dal punto di vista medico-teorico con i propri sforzi e di farne uso per un'attività lucrativa (SVR 2015 IV n. 41 pag. 139, 9C_183/2015 E. 5; SVR 2011 IV n. 73 pag. 220, sentenze del TF 9C_228/2010 consdi. 3; 9C_163/2009 consid. 4.2.2; 8C_582/2017 del 22 marzo 2018 consid. 6.3; 8C_394/2017 dell'8 agosto 2017 consid. 4.2; 9C_412/2014 del 20 ottobre 2014 consid. 3.1 con riferimenti).</w:t>
      </w:r>
    </w:p>
    <w:p>
      <w:r>
        <w:rPr>
          <w:b/>
        </w:rPr>
        <w:t>E. 11.1.5</w:t>
      </w:r>
    </w:p>
    <w:p>
      <w:r>
        <w:t>Nondimeno il Tribunale federale ha altresì statuito svariate eccezioni al principio ("presunzione" [sentenza del TF 9C_707/2018 del 26 marzo 2019 consid. 4.1]) secondo cui un'autointegrazione non è più esigibile una volta raggiunti i 55 anni di età o i 15 anni di diritto alla rendita. Si tratta in particolare dei casi in cui l'assenza prolungata dal mercato del lavoro è dovuta a motivi non imputabili all'invalidità (sentenza del TF 9C_819/2014 del 19 giugno 2015 consid. 4 con riferimenti), dei casi in cui l'assicurato è particolarmente dinamico, flessibile ed integrato nella vita sociale (sentenza del TF 9C_68/2011 del 16 maggio 2011 consid. 3.3) e dei casi in cui dispone di una formazione ed esperienza professionale particolarmente ampia (sentenza del TF 8C_39/2012 del 24 aprile 2012 consid. 5.2). Per poter capovolgere la presunzione di inesigibilità di un'autointegrazione sono necessari elementi concreti che permettono di concludere che l'assicurato può reintegrarsi nella vita lavorativa senza assistenza nonostante l'età avanzata e/o il lungo periodo di percezione della rendita con corrispondente assenza dal mercato del lavoro (SVR 2015 IV n. 41 pag. 139, sentenza del TF 9C_183/2015 consid. 5). L'onere di provare che, contrariamente alla presunzione, la persona assicurata è in grado di (ri)utilizzare la capacità lavorativa attestata medicalmente attraverso l'autointegrazione, spetta all'Ufficio AI (cfr. le sentenze del TF 8C_759/2018 del 13 giugno 2019 consid. 9.2 e 8C_494/2018 del 6 giugno 2019 consid. 5.1 con riferimenti).</w:t>
      </w:r>
    </w:p>
    <w:p>
      <w:r>
        <w:rPr>
          <w:b/>
        </w:rPr>
        <w:t>E. 11.2</w:t>
      </w:r>
    </w:p>
    <w:p>
      <w:r>
        <w:t>Nel caso concreto, dalle carte processuali risulta che l'autorità inferiore, nonostante l'assicurato abbia beneficiato di una rendita per oltre 15 anni (rendita intera dal 1° maggio 2002 al 31 agosto 2003 e un quarto di rendita a decorrere dal 1° giugno 2004), non si è confrontata con la capacità integrativa dell'assicurato. Questo Tribunale rileva nondimeno che dagli atti risulta che l'assicurato - che è sempre risultato abile in attività adeguate a tempo pieno nel rispetto dei limiti funzionali elencati (consid. 10.5.2) - ha già beneficiato di una riqualifica professionale e che egli ha lavorato per oltre cinque anni con piena soddisfazione del datore di lavoro nell'attività in cui è stato riformato. Inoltre, dagli atti risulta pure che egli non lavora da aprile 2009, che ha percepito prestazioni di disoccupazione senza aver intrapreso particolari tentativi di ripresa lavorativa, né aver richiesto provvedimenti professionali all'autorità inferiore. Di conseguenza, nella fattispecie deve essere ritenuto che l'assenza dal mercato del lavoro non sia dovuta a motivi imputabili all'invalidità e l'assicurato - che deve essere ritenuto in grado autointegrarsi nonostante abbia percepito una rendita per oltre 15 anni - non può pretendere l'esecuzione di provvedimenti professionali o ulteriori accertamenti in tal senso (cfr. in particolare la sentenza del TF 9C_819/2014 del 19 giugno 2015 consid. 4).</w:t>
      </w:r>
    </w:p>
    <w:p>
      <w:r>
        <w:rPr>
          <w:b/>
        </w:rPr>
        <w:t>E. 12</w:t>
      </w:r>
    </w:p>
    <w:p>
      <w:r>
        <w:t>Sfruttabilità della capacità lavorativa residua Infine, per quel che concerne la possibilità di sfruttare la capacità di guadagno residua sul mercato del lavoro, il Tribunale federale ha già avuto modo di spiegare che non vanno poste esigenze eccessive riguardo alla concretizzazione delle possibilità di lavoro e delle prospettive di guadagno (v. sentenze del TF 9C_236/2008 del 4 agosto 2008 consid. 4.2 e 9C_446/2008 del 18 settembre 2008 consid. 4.2). Questo Tribunale rileva poi che i limiti funzionali dell'assicurato sono modesti e permettono senz'altro l'esercizio di numerose attività leggere. Inoltre dagli atti non emergono elementi che permettono di ritenere che la capacità lavorativa in attività sostitutive rispettose delle limitazioni funzionali non sia effettivamente sfruttabile sul mercato del lavoro equilibrato e, d'altro canto, il ricorrente neppure lo sostiene. Non vi è alcuna ragione di dubitare del fatto che l'insorgente, nato nel 1965, disponga di sufficienti strumenti e risorse per svolgere un'attività parificabile a quella eseguita dopo la riqualifica professionale oppure una nuova occupazione rispondente alle limitazioni funzionali indicate. Al medesimo si presenta dunque un ventaglio di professioni piuttosto ampio, con mansioni semplici e ripetitive - che non richiedono necessariamente la messa in atto di particolari misure di reintegrazione professionale, ma che possono essere esercitate dopo una semplice introduzione al posto di lavoro e un breve periodo di pratica. Il Tribunale federale ha del resto già ripetutamente statuito, in casi con limitazioni funzionali simili, che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in particolare aggravi fisici (cfr., fra le tante, le sentenze del TF 8C_563/2012 del 23 agosto 2012 consid. 3.3 con rinvii, 9C_635/2007 del 21 agosto 2008 consid. 3.3 con rinvii, I 359/06 del 22 giugno 2007 consid. 4.2 con rinvii). Pertanto, questo Tribunale rileva che la residua capacità lavorativa del ricorrente in attività sostitutive rispettose delle limitazioni funzionali è pienamente sfruttabile in un mercato del lavoro equilibrato.</w:t>
      </w:r>
    </w:p>
    <w:p>
      <w:r>
        <w:rPr>
          <w:b/>
        </w:rPr>
        <w:t>E. 13</w:t>
      </w:r>
    </w:p>
    <w:p>
      <w:r>
        <w:t>Raffronto dei redditi in base ai dati statistici Infine, considerato che da aprile 2009 l'assicurato non lavora più come operaio nell'eliografia, occorre esaminare la conformità al diritto federale del grado d'invalidità stabilito dall'amministrazione e pertanto del nuovo raffronto dei redditi eseguito in virtù dei soli dati statistici, sia per quanto riguarda il reddito da valido che per quello da invalido (doc. 116). In caso di risposta affermativa, una revisione e quindi, in concreto, la soppressione dal 1° aprile 2020 del quarto di rendita precedentemente assegnato all'assicurato è infatti possibile anche senza che sia intervenuto un miglioramento della capacità lavorativa in attività adeguate (cfr. consid. 5.4 del presente giudizio).</w:t>
      </w:r>
    </w:p>
    <w:p>
      <w:r>
        <w:rPr>
          <w:b/>
        </w:rPr>
        <w:t>E. 13.1.1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rPr>
          <w:b/>
        </w:rPr>
        <w:t>E. 13.1.2</w:t>
      </w:r>
    </w:p>
    <w:p>
      <w:r>
        <w:t>Nell'ambito di una procedura di revisione, il momento determinante per il raffronto dei redditi, è quello in cui il diritto alla rendita potrebbe subire una modifica in applicazione degli art. 88a e 88bis OAI (cfr. sentenza del TF 9C_882/2010 del 25 gennaio 2010 consid. 7.2.1; BSK ATSG-Frey/Lang, Art. 16 N 31 e CR LPGA- Margit Moser-Szeless, art. 16 LPGA, N 41).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 548, N. 2063-2064).</w:t>
      </w:r>
    </w:p>
    <w:p>
      <w:r>
        <w:rPr>
          <w:b/>
        </w:rPr>
        <w:t>E. 13.1.3</w:t>
      </w:r>
    </w:p>
    <w:p>
      <w:r>
        <w:t>Nel caso concreto, il provvedimento impugnato del 17 febbraio 2020 è stato notificato all'assicurato il 25 febbraio 2020 (cfr. doc. 157) e, in applicazione dell'art. 88bis cpv. 2 lett. a OAI, la soppressione della rendita è stata messa in atto il primo giorno del secondo mese che segue la notifica della decisione impugnata, ossia il 1° aprile 2020. Il raffronto dei redditi dovrebbe dunque essere effettuato con i dati statistici validi per l'anno 2020. Tuttavia, non essendo al momento dell'emanazione del provvedimento impugnato ancora disponibili i dati relativi all'anno 2018, né tanto meno quelli per il 2020, va confermato l'utilizzo da parte dell'UAIE dei dati del 2016 (cfr., sulla legittimità di tale procedere, fra l'altro, la sentenza del TF 9C_767/2015 del 19 aprile 2016 consid. 3.4 con rinvii), fermo restando che un'indicizzazione, sarebbe irrilevante per l'esito della lite (secondo la T1.1.15 Indice dei salari nominali, Uomini, periodo 2016-2018, l'indicizzazione della categoria "totale" è difatti dello 0,9% mentre quella della "categoria 41 - 43 Costruzioni" è dello 0,8%).</w:t>
      </w:r>
    </w:p>
    <w:p>
      <w:r>
        <w:rPr>
          <w:b/>
        </w:rPr>
        <w:t>E. 13.2.1</w:t>
      </w:r>
    </w:p>
    <w:p>
      <w:r>
        <w:t>Per determinare il reddito ipotetico conseguibile dalla persona assicurata senza il danno alla salute (reddito da valido), occorre stabilire quanto la stessa, nel momento determinante (ossia quello della modifica del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13.2.2</w:t>
      </w:r>
    </w:p>
    <w:p>
      <w:r>
        <w:t>Nel caso concreto, l'autorità inferiore ha indicato di aver eccezionalmente determinato il salario da valido facendo ricorso ai dati statistici dell'Ufficio federale di statistica (tenuto conto della categoria 41-43 "costruzioni", del livello di competenze 2, e di un orario usuale di 41.4 ore settimanali) per evitare una distorsione dovuta all'indicizzazione su un lungo periodo di un salario pagato diversi anni fa. Essendo trascorsi quasi due decenni da quando il ricorrente ha percepito il suo ultimo stipendio come carpentiere, tale modo di procedere - che peraltro non è stato contestato - risulta corretto e va confermato.</w:t>
      </w:r>
    </w:p>
    <w:p>
      <w:r>
        <w:rPr>
          <w:b/>
        </w:rPr>
        <w:t>E. 13.3.1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w:t>
      </w:r>
    </w:p>
    <w:p>
      <w:r>
        <w:rPr>
          <w:b/>
        </w:rPr>
        <w:t>E. 13.3.2</w:t>
      </w:r>
    </w:p>
    <w:p>
      <w:r>
        <w:t>Per quel che attiene al requisito dello sfruttamento completo e ragionevole della residua capacità lavorativa, il Tribunale federale ha precisato che tale condizione non è adempiuta qualora quest'ultimo potrebbe percepire in un mercato del lavoro equilibrato un reddito più elevato rispetto a quello effettivamente percepito. Nell'ipotetico mercato del lavoro equilibrato la ricerca di un nuovo impiego risulta esigibile anche qualora per l'assicurato, per motivi congiunturali, nel mercato del lavoro reale è molto difficile, rispettivamente impossibile, trovare un tale impiego. L'imputabilità di un reddito ipotetico più elevato non si fonda principalmente sull'obbligo di ridurre il danno, ma piuttosto sull'idea che le assicurazioni sociali compensino unicamente il discapito economico derivante da un danno alla salute (cfr. in particolare sentenza del TF 8C-313/2018 del 10 agosto 2018, consid. 6.3 e rinvii).</w:t>
      </w:r>
    </w:p>
    <w:p>
      <w:r>
        <w:rPr>
          <w:b/>
        </w:rPr>
        <w:t>E. 13.3.3</w:t>
      </w:r>
    </w:p>
    <w:p>
      <w:r>
        <w:t>Di principio, quando risulta necessario ricorrere ai valori statistici per determinare il reddito da invalido,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13.3.4</w:t>
      </w:r>
    </w:p>
    <w:p>
      <w:r>
        <w:t>Nella fattispecie concreta, l'interessato - in seguito all'infortunio del 22 maggio 2001 - aveva beneficiato di una riqualifica professionale come operaio nel settore dell'eliografia (cfr. doc. 28 e 48). Pertanto, nel confronto dei redditi posto alla base delle decisioni del 2005, l'UAI-B._______ aveva tenuto conto del reddito effettivamente percepito dal ricorrente all'epoca.Tuttavia, dagli atti risulta pure che tale attività non viene più esercitata a partire dall'aprile 2009 (doc. 83). Di conseguenza questo Tribunale rileva che, essendo accessibili all'assicurato tutte le attività che non includono il sollevamento di pesi oltre i 15Kg, lavoro al di sopra della testa e movimenti ripetitivi, è a giusto titolo che l'autorità inferiore ha fatto ricorso al valore relativo alla categoria totale della Tabella TA1, tenuto conto dell'orario usuale di lavoro di 41.7h/settimana e di una riduzione giurisprudenziale del 15% giustificata per i limiti funzionali sopraelencati e non contestata (doc. 116).</w:t>
      </w:r>
    </w:p>
    <w:p>
      <w:r>
        <w:rPr>
          <w:b/>
        </w:rPr>
        <w:t>E. 13.4</w:t>
      </w:r>
    </w:p>
    <w:p>
      <w:r>
        <w:t>Da quanto precede, risulta che l'autorità inferiore ha correttamente determinato sia il reddito da valido, che quello da invalido, fondandosi sui valori tabellari e che il grado di invalidità del 23% stabilito dall'amministrazione va confermato.</w:t>
      </w:r>
    </w:p>
    <w:p>
      <w:r>
        <w:rPr>
          <w:b/>
        </w:rPr>
        <w:t>E. 14</w:t>
      </w:r>
    </w:p>
    <w:p>
      <w:r>
        <w:t>Da quanto esposto discende che l'autorità inferiore ha correttamente considerato una piena capacità lavorativa, tenuto conto dei limiti funzionali elencati, in attività adeguate e che risulta conforme al diritto federale pure l'aggiornamento del raffronto dei redditi eseguito in seguito alla cessazione dell'attività lavorativa in cui l'assicurato era stato reintegrato. Il ricorso deve pertanto essere respinto e la decisione di soppressione della rendita impugnata confermata.</w:t>
      </w:r>
    </w:p>
    <w:p>
      <w:r>
        <w:rPr>
          <w:b/>
        </w:rPr>
        <w:t>E. 15.1</w:t>
      </w:r>
    </w:p>
    <w:p>
      <w:r>
        <w:t>Visto l'esito della procedura, le spese processuali, di CHF 800.-, sono poste a carico del ricorrente (art. 63 cpv. 1 e cpv. 5 PA, nonché art. 3 lett. b TS-TAF [RS 173.320.2]). Esse sono computate con l'anticipo spese, di identico ammontare, versato dall'insorgente 18 luglio 2020.</w:t>
      </w:r>
    </w:p>
    <w:p>
      <w:r>
        <w:rPr>
          <w:b/>
        </w:rPr>
        <w:t>E. 15.2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