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C-1591/2010 vom 31. Oktober 2011</w:t>
      </w:r>
    </w:p>
    <w:p>
      <w:r>
        <w:t>Bundesverwaltungsgericht, 2011-10-31, DE</w:t>
      </w:r>
    </w:p>
    <w:p>
      <w:r>
        <w:rPr>
          <w:b/>
        </w:rPr>
        <w:t xml:space="preserve">Quelle: </w:t>
      </w:r>
      <w:r>
        <w:t>https://mcp.opencaselaw.ch/entscheid/bvger_C-1591_2010</w:t>
      </w:r>
    </w:p>
    <w:p>
      <w:r>
        <w:t>FR: TAF C-1591/2010 du 31 octobre 2011</w:t>
      </w:r>
    </w:p>
    <w:p>
      <w:r>
        <w:t>IT: TAF C-1591/2010 del 31 ottobre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Darunter fallen u.a. Verfügungen des BFM - als eine der in Art. 33 Bst. d VGG genannten Vorinstanzen -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Urteil des Bundesgerichts 2C_692/2010 vom 13. September 2010 E. 3).</w:t>
      </w:r>
    </w:p>
    <w:p>
      <w:r>
        <w:rPr>
          <w:b/>
        </w:rPr>
        <w:t>E. 1.2</w:t>
      </w:r>
    </w:p>
    <w:p>
      <w:r>
        <w:t>Das Verfahren richtet sich nach dem Verwaltungsverfahrensgesetz, dem Verwaltungsgerichtsgesetz und dem Bundesgerichtsgesetz, soweit das Asylgesetz - sofern anwendbar - nichts anderes bestimmt (Art. 6 AsylG).</w:t>
      </w:r>
    </w:p>
    <w:p>
      <w:r>
        <w:rPr>
          <w:b/>
        </w:rPr>
        <w:t>E. 1.3</w:t>
      </w:r>
    </w:p>
    <w:p>
      <w:r>
        <w:t>Die Beschwerdeführerin ist als Verfügungsadressatin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3.3</w:t>
      </w:r>
    </w:p>
    <w:p>
      <w:r>
        <w:t>Soweit auf Beschwerdeebene in diesem Zusammenhang argumentiert wird, der Kanton Luzern verfolge bei der Erteilung von Härtefallbewilligungen eine ausserordentlich strenge Praxis, weshalb hier kein Anlass dazu bestanden hätte, der Empfehlung des antragstellenden Kantons keine Folge zu leisten, verkennt der Parteivertreter die Besonderheiten des Zustimmungsverfahrens nach Art. 14 Abs. 2 AsylG. Demnach ist es nämlich Aufgabe des BFM, die Voraussetzungen für die Erteilung der Zustimmung umfassend zu prüfen. Eine umfassende, originäre Sachentscheidskompetenz der Vorinstanz gilt übrigens auch für das ausländerrechtliche Zustimmungsverfahren gemäss Art. 40 Abs. 1 des Ausländergesetzes vom 16. Dezember 2005 (AuG, SR 142.20) i.V.m. Art. 99 AuG (zum alten, aber gleich ausgestalteten Recht: BGE 127 II 49 E. 3a S. 51 f. und BGE 120 Ib 6 E. 3a S. 9 f.). Vorliegend ist es somit an der Vorinstanz zu beurteilen, ob die Voraussetzungen gemäss Art. 14 Abs. 2 Bst. a - c AsylG erfüllt sind. Dass die dafür notwendigen Sachverhaltsabklärungen in der Regel von den antragstellenden Kantonen durchgeführt werden, vermag daran nichts zu ändern (siehe Urteil des Bundesverwaltungsgerichts C-7265/2007 vom 24. März 2010 E. 3). Weder das BFM noch das Bundesverwaltungsgericht sind mithin an die Einschätzung der kantonalen Behörde gebunden (zum Ganzen vgl. auch E. 4.1 - 5.4 hiernach).</w:t>
      </w:r>
    </w:p>
    <w:p>
      <w:r>
        <w:rPr>
          <w:b/>
        </w:rPr>
        <w:t>E. 4.1</w:t>
      </w:r>
    </w:p>
    <w:p>
      <w:r>
        <w:t>Die Beschwerdeführerin hält sich seit der Einreichung des ersten Asylgesuches mehr als fünf Jahre in der Schweiz auf, wobei ihr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AuG).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5.4</w:t>
      </w:r>
    </w:p>
    <w:p>
      <w:r>
        <w:t>Rechtswidrige Aufenthalte werden bei der Härtefallprüfung grundsätzlich nicht berücksichtigt (anders Anwesenheiten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so etwa ein nachlässiger Wegweisungsvollzug - zu berücksichtigen (vgl. BGE 130 II 39 E. 3 S. 42 in fine mit Hinweis).</w:t>
      </w:r>
    </w:p>
    <w:p>
      <w:r>
        <w:rPr>
          <w:b/>
        </w:rPr>
        <w:t>E. 6.1</w:t>
      </w:r>
    </w:p>
    <w:p>
      <w:r>
        <w:t>Das erste Asylgesuch der Beschwerdeführerin wurde am 10. Januar 2005 abgewiesen und die Wegweisung aus der Schweiz angeordnet. Der negative Asylentscheid erwuchs mit dem Nichteintretensentscheid der ARK vom 1. April 2005 in Rechtskraft. Von den zuständigen Behörden war ihr die Anwesenheit in der Schweiz bis zum Abschluss des ordentlichen Asylverfahrens gestattet worden. Das BFM setzte der Beschwerdeführerin daraufhin eine Ausreisefrist bis zum 2. Juni 2005. Ebenfalls an die Gesamtdauer des Aufenthalts angerechnet werden können die Anwesenheiten während des zweiten und dritten Asylverfahrens (3. Mai 2006 bis 5. August 2009 [Datum Ausreisefrist] bzw. 22. September 2009 bis 22. März 2010 [Datum Ausreisefrist]), denn auch für diese Zeit wurde der Beschwerdeführerin jeweils erlaubt, sich hierzulande aufzuhalten. Mitzuberücksichtigen ist schliesslich ihre Anwesenheit im vorliegenden Zustimmungsverfahren (ab 20. November 2009 bis heute), welches das dritte Asylverfahren teilweise überlagert. Anders verhält es sich mit den Zeitspannen zwischen den einzelnen Asylverfahren. Deswegen wurde die Betroffene vom Amtsstatthalteramt Luzern wegen illegalen Aufenthalts strafrechtlich zur Rechenschaft gezogen (gemäss Strafverfügung vom 3. April 2006 zu drei Wochen Gefängnis [abgeurteilte Zeitspanne: 21. Dezember 2005 bis 3. April 2006], gemäss Strafverfügung vom 11. August 2009 zu einer unbedingten Geldstrafe von 30 Tagessätzen à Fr. 50.- [Begehungszeitpunkt: 5. August bis 12. August 2009]; zur Problematik solcher Aufenthalte siehe Urteil des Bundesverwaltungsgerichts C-8270/2008 vom 10. Mai 2010 E. 5.4). Insgesamt kann somit eine Aufenthaltsdauer von rund sieben Jahren angerechnet werden. Daraus vermag die Beschwerdeführerin, wie nachfolgend aufzuzeigen ist, nichts zu ihren Gunsten abzuleiten.</w:t>
      </w:r>
    </w:p>
    <w:p>
      <w:r>
        <w:rPr>
          <w:b/>
        </w:rPr>
        <w:t>E. 6.2</w:t>
      </w:r>
    </w:p>
    <w:p>
      <w:r>
        <w:t>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Was die Aufenthaltsdauer der Beschwerdeführerin anbelangt, so ist sie von daher nicht als derart lang einzuschätzen, dass ohne Vorliegen besonderer Umstände auf einen schwerwiegenden persönlichen Härtefall geschlossen werden könnte. Hingegen stellt sich die Frage, ob sich aus den sonstigen Umständen des Aufenthalts und Verhaltens der Beschwerdeführerin eine schwerwiegende persönliche Notlage ableiten lässt.</w:t>
      </w:r>
    </w:p>
    <w:p>
      <w:r>
        <w:rPr>
          <w:b/>
        </w:rPr>
        <w:t>E. 6.3</w:t>
      </w:r>
    </w:p>
    <w:p>
      <w:r>
        <w:t>Die Beschwerdeführerin hat nicht nur mehrmals Ausreisefristen missachtet (siehe E. 6.1 hiervor), sondern sie muss sich in diesem Zusammenhang auch den Vorwurf gefallen lassen, Mitwirkungspflichten verletzt zu haben. Die einer um Asyl nachsuchenden Person nach rechtskräftigem Abschluss des Asylverfahrens auferlegte Ausreisepflicht beschränkt sich nicht darauf, sich den Behörden zur Verfügung zu halten und allfällige aufenthaltsbeendende Massnahmen ohne Widerstand über sich ergehen zu lassen. Die ausreisepflichtige Person ist vielmehr gehalten, von sich aus die Schweiz zu verlassen und im Vorfeld der Ausreise alles zu unternehmen, um dies zu ermöglichen, was hier offenkundig nicht geschah. Auch eine faktische Duldung der rechtswidrigen Anwesenheit seitens der Behörden ist nicht erkennbar. Im Gegenteil wurde die Beschwerdeführerin auf die im Asyl- und Wegweisungsverfahren gebotenen Mitwirkungspflichten wiederholt aufmerksam gemacht, namentlich auch darauf, bei der Papierbeschaffung aktiv mitzuwirken. Dass die Ausreiseverpflichtung nicht mit Zwangsmitteln durchsetzbar war, lag in ihrem Falle denn zur Hauptsache daran, dass sie nie ein gültiges heimatliches Reisepapier vorlegte. Wohl hat die äthiopische Vertretung in der Schweiz der Betroffenen im März 2006 ein Laissez-passer ausgestellt. Der für den 4. Mai 2006 gebuchte Rückflug musste kurzfristig annulliert werden, da sich die Beschwerdeführerin am 3. Mai 2006 stattdessen dazu entschloss, ein zweites Asylgesuch einzureichen (vgl. Sachverhalt Bst. B vorstehend). Gemäss einer Mitteilung der kantonalen Migrationsbehörde vom 27. Juni 2006 an die Vorinstanz hatte die Frau einige Tage vor dem Flugdatum an einer Demonstration vor dem Sitz des Flüchtlingshochkommissariats der Vereinten Nationen (UNHCR) in Genf teilgenommen und damit versucht, subjektive Nachfluchtgründe zu schaffen. Wie schon die frühere Regelung soll auch die heutige Härtefallregelung nach Art. 14 Abs. 2 AsylG nur für Personen in Betracht fallen, die nach Abweisung ihres Asylgesuches aus nicht selbst verschuldeten oder nicht selbst zu verantwortenden Gründen in der Schweiz geblieben sind (vgl. Urteil des Bundesverwaltungsgerichts C-1445/2010 vom 8. August 2011 E. 6.2 mit Hinweis). Eine solche Situation ist hier, wie angetönt, nicht gegeben. Da sämtliche materiellen Asylentscheide (drei Entscheide des BFM, zwei Urteile des Bundesverwaltungsgerichts) zum Ergebnis kommen, dass keine Asylgründe vorliegen, hätte es die Beschwerdeführerin in der Hand gehabt, ein Reisedokument zu erlangen. Bislang hat sie sich jedoch nicht bereit erklärt, ein solches Dokument zu besorgen oder freiwillig zurückzukehren und in dieser Hinsicht überhaupt jegliche Kooperation mit den Behörden verweigert. Ihr Verhalten, sprich die Verletzung von Mitwirkungspflichten und das absichtliche Hinauszögern des Aufenthalts, dürfen daher im Rahmen der Härtefallprüfung bzw. des Kriterienkatalogs von Art. 31 Abs. 1 VZAE (insbesondere von Art. 31 Abs. 1 Bst. b VZAE) nicht ausser Acht gelassen werden.</w:t>
      </w:r>
    </w:p>
    <w:p>
      <w:r>
        <w:rPr>
          <w:b/>
        </w:rPr>
        <w:t>E. 6.4</w:t>
      </w:r>
    </w:p>
    <w:p>
      <w:r>
        <w:t>Die herangezogen Akten lassen erkennen, dass die Beschwerdeführerin sich ansonsten anscheinend recht gut in die hiesigen Verhältnisse eingelebt hat. Was die sprachliche Integration anbelangt, so sprach sie allerdings lange Zeit - bis ins Jahr 2006 - nur gebrochen Deutsch (vgl. dazu das der Replik beigelegte Referenzschreiben eines Teamleiters des Seniorenzentrums X._______ oder die Asylakten). Erst nach der Aufnahme einer Erwerbstätigkeit bemühte sie sich ernsthaft darum, sich Kenntnisse einer Landesssprache anzueignen. So besuchte sie vom Februar 2008 bis Januar 2009 regelmässig Deutschkurse. Inzwischen hat sie das Referenzniveau A2 des Europäischen Sprachenportfolios erreicht. Der Überweisung des Amtes für Migration des Kantons Luzern vom 20. November 2009 zufolge kann sie sich heute in deutscher Sprache verständigen. Ihre diesbezüglichen Bemühungen bewegen sich aber im üblichen Rahmen. Ebenso wenig kann von besonders engen Bindungen, deren Auflösung zu einer besonderen Härte führen würde, die Rede sein. Die Beschwerdeführerin ist alleinstehend und hat in der Schweiz keine Familienangehörigen. Wohl hat sie Anstrengungen unternommen, um in ihrem sozialen und vor allem beruflichen Umfeld akzeptiert zu werden. Davon zeugen die vier mit der Replik eingereichten Unterstützungs- und Empfehlungsschreiben. Sie zeigen ein gewisses Beziehungsnetz der Beschwerdeführerin zur Schweiz auf, lassen jedoch nicht auf enge persönliche und affektive Beziehungen schliessen. Sonstige derartige Kontakte sind im Übrigen nicht aktenkundig. Die fraglichen Unterlagen beinhalten damit keine hinreichenden Nachweise für eine aussergewöhnliche soziale Integration, welche über die während des mehrjährigen Aufenthalts geknüpften beruflichen, freundschaftlichen und nachbarschaftlichen Beziehungen hinaus gehen würde. Für die Annahme eines persönlichen Härtefalles genügt es denn nicht, wenn solche Beziehungen aufgegeben werden müssen (vgl. BVGE 2009/40 E. 6.2).</w:t>
      </w:r>
    </w:p>
    <w:p>
      <w:r>
        <w:rPr>
          <w:b/>
        </w:rPr>
        <w:t>E. 6.5</w:t>
      </w:r>
    </w:p>
    <w:p>
      <w:r>
        <w:t>Die Beschwerdeführerin ist von Mitte Dezember 2006 bis anfangs August 2009 in einem Seniorenzentrum in X._______ als Küchenhilfe einer Erwerbstätigkeit nachgegangen. Aus einem Zwischenzeugnis vom 27. Februar 2009 geht hervor, dass der Arbeitgeber mit ihren Leistungen sehr zufrieden war. Auch die Empfehlungsschreiben des Leiters des Alterszentrums vom 30. Juli 2010 und eines früheren direkten Vorgesetzten attestieren ihr, eine motivierte, selbständig arbeitende, verantwortungsbewusste, aufgestellte und liebenswürdige Angestellte gewesen zu sein. Seit August 2009 bezieht sie im Rahmen der Nothilfe Sozialhilfeleistungen, was insoweit entschuldbar ist, als sie seit der rechtskräftigen Ablehnung des zweiten Asylgesuches einem Arbeitsverbot untersteht (vgl. aber die vorangehende E. 6.3). Positiv zu werten ist, dass die Beschwerdeführerin zwischen Mai und November 2004 einen Gesundheits- und Krankenpflegekurs des Schweizerischen Roten Kreuzes (SRK) und im Jahre 2006 zwei Informatikkurse (einen Grundkurs und einen solchen für Fortgeschrittene) besucht hat. Von einer aussergewöhnlichen oder unüblich starken Integration - die über diejenige einer Vielzahl seit mehreren Jahren in der Schweiz lebender Ausländerinnen und Ausländer hinausgeht - kann aber trotz der Referenzen des früheren Arbeitgebers auch in dieser Hinsicht nicht ausgegangen werden. Der Parteivertreter selber bezeichnet seine Mandantin in der Replik denn als wenig qualifizierte Arbeitskraft. Dem in der Eingabe vom 17. Mai 2010 zitierten Vergleichsfall (Urteil des Bundesverwaltungsgerichts C-4447/2008 vom 15. März 2010) wiederum liegt keine vergleichbare Konstellation zu Grunde. In jenem Fall handelte es sich um eine ledige Frau, deren besonders enge Beziehungen zur Schweiz vor allem aus den zwei hierzulande geborenen Kindern, wovon eines mit Schweizer Bürgerrecht, abgeleitet wurde. Alles in allem kann mithin nicht von einer Verankerung oder Verwurzelung in der Schweiz im Sinne der Rechtsprechung (siehe E. 5.1 - 5.3 hiervor) ausgegangen werden.</w:t>
      </w:r>
    </w:p>
    <w:p>
      <w:r>
        <w:rPr>
          <w:b/>
        </w:rPr>
        <w:t>E. 6.6</w:t>
      </w:r>
    </w:p>
    <w:p>
      <w:r>
        <w:t>Zu prüfen gilt es, wie es sich mit dem Aspekt der Wiedereingliederung im Herkunftsstaat verhält (Art. 31 Abs. 1 Bst. g VZAE). Die Beschwerdeführerin ist im Alter von 23 Jahren aus Addis Abeba in die Schweiz gelangt. Sie hat somit den grössten Teil ihres bisherigen Lebens, welcher die für die Persönlichkeitsbildung wichtigen Kinder- und Jugendjahre umfasst, in Äthiopien verbracht. Sie ist wie erwähnt alleinstehend und hat keinen familiären Bezug zur Schweiz. Dagegen verfügt die Beschwerdeführerin in ihrem Heimatland über ein familiäres Beziehungsnetz (gemäss ihren Angaben leben die Mutter sowie mehrere Geschwister an ihrem ehemaligen Wohnort Addis Abeba). Dass ihr wegen exilpolitischer Tätigkeiten bei einer Rückkehr Repressionen drohen könnten, wurde bereits in den Urteilen des Bundesverwaltungsgerichts vom 3. Juli 2009 und 17. Februar 2010 betreffend Asyl und Wegweisung klar verneint. Die Rückkehr in den Herkunftsstaat erscheint insofern nicht mit besonderen Schwierigkeiten verbunden. Mit Blick auf den in der Replik angeführten Bericht der Schweizerischen Flüchtlingshilfe (SFH) gilt es sodann anzumerken, dass von den darin erörterten wirtschaftlichen Schwierigkeiten die äthiopischen Frauen im Allgemeinen betroffen sind, was für sich allein nicht ein Hindernis darstellt, das einer Wiedereingliederung im Herkunftsland entgegenstehen könnte. Vielmehr geht es darum, ob die zur Ausreise verpflichtete Person bei einer Rückkehr gegenüber der dortigen Bevölkerung wesentlich benachteiligt wäre (siehe Urteil des Bundesgerichts 2A.512/2006 vom 18. Oktober 2006 E. 2.2 oder BGE 123 II 125 E. 5b/dd S. 133). Dies trifft hier nur schon deswegen nicht zu, weil die Beschwerdeführerin in Äthiopien (wie eben dargetan) auf ein familiäres Netzwerk zurückgreifen kann. Zum Vorteil gereichen werden ihr ferner die zwölfjährige Schulausbildung in Heimatstaat, die Berufserfahrungen aus der Zeit, als sie im Geschäft ihres Vaters mitarbeitete sowie die in der Schweiz im Gesundheits- und Informatikbereich besuchten Kurse und die knapp dreijährige Erwerbstätigkeit im Seniorenzentrum. Nur schon vor diesem Hintergrund vermag die sich in guter gesundheitlicher Verfassung befindliche Beschwerdeführerin aus dem fraglichen Bericht der SFH nichts zu ihren Gunsten abzuleiten. Alles in allem lassen die aufgelisteten Faktoren eine Wiedereingliederung in Äthiopien somit nicht als besondere Härte erscheinen.</w:t>
      </w:r>
    </w:p>
    <w:p>
      <w:r>
        <w:rPr>
          <w:b/>
        </w:rPr>
        <w:t>E. 7</w:t>
      </w:r>
    </w:p>
    <w:p>
      <w:r>
        <w:t>Damit ist abschliessend festzustellen, dass die Beschwerdeführerin die Kriterien eines schwerwiegenden persönlichen Härtefalles nicht erfüllt. Zu Recht hat die Vorinstanz daher im vorliegenden Fall die Zustimmung zur Erteilung einer Aufenthaltsbewilligung gemäss Art. 14 Abs. 2 AsylG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der Beschwerdeführerin die Kosten aufzuerlegen (Art. 63 Abs. 1 VwVG i.V.m. Art. 1 ff. des Reglements vom 21. Februar 2008 über die Kosten und Entschädigungen vor dem Bundesverwaltungsgericht [VGKE, SR 173.320.2]). Das Gesuch vom 17. Mai 2010 um wiedererwägungsweisen Verzicht auf die Erhebung eines Kostenvorschusses ist durch den am 14. Mai 2010 fristgerecht geleisteten Kostenvorschuss hinfällig geworden. Über das Gesuch um unentgeltliche Rechtsverbeiständung als solches ist bereits mit Zwischenverfügung vom 4. Mai 2010 befunden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