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C-1590/2011 vom 18. August 2011</w:t>
      </w:r>
    </w:p>
    <w:p>
      <w:r>
        <w:t>Bundesverwaltungsgericht, 2011-08-18, DE</w:t>
      </w:r>
    </w:p>
    <w:p>
      <w:r>
        <w:rPr>
          <w:b/>
        </w:rPr>
        <w:t xml:space="preserve">Quelle: </w:t>
      </w:r>
      <w:r>
        <w:t>https://mcp.opencaselaw.ch/entscheid/bvger_C-1590_2011</w:t>
      </w:r>
    </w:p>
    <w:p>
      <w:r>
        <w:t>FR: TAF C-1590/2011 du 18 août 2011</w:t>
      </w:r>
    </w:p>
    <w:p>
      <w:r>
        <w:t>IT: TAF C-1590/2011 del 18 agosto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bzw. Einspracheentscheide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2A.451/2002 vom 28. März 2003, teilweise publiziert in BGE 129 II 215; BGE 135 II 369 E. 3.3).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und 5 AuG).</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 - 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5.3</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5.4</w:t>
      </w:r>
    </w:p>
    <w:p>
      <w:r>
        <w:t>Anhang I zur Verordnung (EG) Nr. 539/2001 des Rates vom 15. März 2001 listet diejenigen Staaten auf, deren Staats­angehörige beim Über­schreiten der Aussen­grenzen der Schen­gen-Mitgliedstaaten im Besitze ei­nes Vi­sums sein müssen (ABl. L 81 vom 21.03.2001, S. 1-7, zum vollstän­digen Quellennachweis vgl. Fussnote zu Art. 4 Abs. 1 VEV). Da Nigeria zu diesen Staaten zählt, unter­liegt die Gesuchstellerin der Visums­pflicht.</w:t>
      </w:r>
    </w:p>
    <w:p>
      <w:r>
        <w:rPr>
          <w:b/>
        </w:rPr>
        <w:t>E. 6.1</w:t>
      </w:r>
    </w:p>
    <w:p>
      <w:r>
        <w:t>Vorliegend ist zu prüfen, ob die Vorinstanz unter Berücksichtigung der Verhältnisse im Herkunftsland und der persönlichen Lebensum-stände einen ermessensfehlerfreien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6.2</w:t>
      </w:r>
    </w:p>
    <w:p>
      <w:r>
        <w:t>Die wirtschaftliche Lage Nigerias, des bevölkerungsreichsten Landes Af­rikas, hat sich zwar in den letzten Jahren deutlich verbessert. Relativiert wird dieser Erfolg aber durch die seit Anfang 2006 im öl­reichen Niger-Delta entfachten und mit erheblicher Gewalt und Kriminalität einher­ge­henden Unruhen, welche zu einge­schränkten Öl- und Gasförder­quoten ge­führt haben und dadurch auch das weit­gehend vom Rohöl­export abhän­gige Wirtschaftswachstum brem­sen. Die Unruhen sind ebenfalls mit der Grund für eine Ver­schlechterung der ohnehin un­zureichenden inlän­dischen Energiever­sorgung. Als Haupthinderungs­grund für die wirt­schaftliche Entwicklung gilt aller­dings die mangel­hafte Infrastruktur des Lan­des, die breiten Be­völkerungsschichten schwierige ökonomische und so­ziale Lebens­bedingungen beschert und mehr als die Hälfte der Bevöl­ke­rung in extremer Armut (weniger als 1 USD/Tag) leben lässt. Auch wenn Präsi­dent Yar' Adua, von Mai 2007 bis Mai 2010 amtierendes Staats­ober­haupt und gleichzeiti­ger Regierungschef, darum bemüht war, die Reformpoli­tik seines Vor­gängers Obasanjo fortzusetzen und auf die ge­nann­ten Heraus­forderungen einzugehen, hat die Implemen­tie­rung von kon­kreten Massnah­men erst seit kurzem begonnen. Nach dem Tode von Präsident Yar' Adua hat der neue Präsident Jonathan - ehemals Vizepräsi­dent - angekundigt, seinerseits den Reformen und der wirtschaftlichen Entwicklung verpflichtet zu sein (Quelle: Deutsches Auswär­tiges Amt, www.auswaertiges-amt.de &gt; Reise &amp; Sicherheit &gt; Über­sicht &gt; Nigeria &gt; Wirtschaft und Innenpolitik, Stand je März 2011, be­sucht im August 2011; vgl. auch Urteile des Bundesverwaltungsgerichts C-7466/2010 vom 7. März 2011 E. 8.2.1. und C-7095/2008 vom 8. Septem­ber 2010 E. 7.2., je mit Hinweisen). Angesichts des mit solchen Mass­nah­men ver­bundenen Kosten­aufwands können grosse Teile der Be­völkerung mit­telfristig nicht mit günstigeren Lebens­bedingungen rechnen, wohl auch deshalb nicht, weil die welt­weite Finanz- und Wirtschaftskrise bis auf Weite­res erhebliche Aus­wirkungen auf die von den Öleinnahmen ab­hängi­gen Staatsausgaben haben dürfte.</w:t>
      </w:r>
    </w:p>
    <w:p>
      <w:r>
        <w:rPr>
          <w:b/>
        </w:rPr>
        <w:t>E. 6.3</w:t>
      </w:r>
    </w:p>
    <w:p>
      <w:r>
        <w:t>Vor diesem Hintergrund besteht erfahrungsgemäss häufig der Wunsch zur Auswanderung, welcher sich vor allem bei jüngeren Men­schen manifestiert. Ein bestehendes soziales Be­ziehungsnetz (Ver­wandte oder Bekannte)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Personen aus Nigeria im Jahre 2009 mit 1'786 Gesuchen (+80.8% gegenüber dem Vorjahr) die grösste Gruppe von Asylsu­chenden stell­ten. Auch im Jahre 2010 war mit 1'969 Gesuchen (+10.2% gegenüber dem Vorjahr) erneut Nige­ria wichtigstes Herkunftsland; dies, obwohl nigerianische Asylsu­chende kaum Aussicht haben, in der Schweiz Asyl zu erhalten (vgl. kom­mentierte Asylstatistiken 2009 und 2010 des BFM, S. 3 und 10, im Inter­net unter: www.bfm.admin.ch &gt; Dokumentation &gt; Zahlen und Fakten &gt; Asyl­statistik &gt; Jahresstatistiken).</w:t>
      </w:r>
    </w:p>
    <w:p>
      <w:r>
        <w:rPr>
          <w:b/>
        </w:rPr>
        <w:t>E. 6.4</w:t>
      </w:r>
    </w:p>
    <w:p>
      <w:r>
        <w:t>Es wäre jedoch zu schematisch und nicht haltbar, generell und ohne spezifische Anhaltspunkte ausschliesslich aufgrund der allgemeinen Lage in der Herkunftsregion auf eine nicht hinreichend gesicherte Wiederaus­reise zu schliessen. Es gilt somit, über die Situation im Herkunftsland hin­aus, ebenfalls die weiteren Umstände des Einzelfalles zu würdigen, wie dies die Vorinstanz denn auch getan hat. Namentlich können berufliche, ge­sellschaftliche oder familiäre Verpflichtungen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7.1</w:t>
      </w:r>
    </w:p>
    <w:p>
      <w:r>
        <w:t>Bei der Gesuchstellerin handelt es sich um eine ledige, 28-jährige Frau, welche in Benin-City, einer Millionenstadt im Süden Nigerias, lebt. Auf den ersten Blick könnte der Umstand, dass sie für die Dauer ihres Be­suchsaufenthaltes in der Schweiz ihre zweijährige Tochter sowie ihren Verlobten in der Heimat zurücklassen würde, durchaus für eine gewisse Verwurzelung sprechen. Andererseits zeigt die Erfahrung, dass zurückblei­bende nahe Angehörige gerade in Situationen angespannter politi­scher bzw. wirtschaftlicher Verhältnisse regelmässig nicht verlässlich davon abhalten können, den Entschluss für eine Emigration zu fällen; sei dies etwa in der Hoffnung, die Zurückgebliebenen aus dem Ausland wirt­schaftlich effizienter unterstützen oder später allenfalls gar nachziehen zu können. Dass der Zuwanderungsdruck von Personen aus Nigeria in gros­sem Ausmass anhält, wurde bereits erwähnt und von der Beschwerdeführe­rin denn auch nicht in Frage gestellt.</w:t>
      </w:r>
    </w:p>
    <w:p>
      <w:r>
        <w:rPr>
          <w:b/>
        </w:rPr>
        <w:t>E. 7.2</w:t>
      </w:r>
    </w:p>
    <w:p>
      <w:r>
        <w:t>Auch die wirtschaftlichen Verhältnisse bieten keine besondere Ge­währ für eine fristgerechte Wiederausreise. Im Visumsantrag gab die Ge­suchstellerin hinsichtlich der beruflichen Tätigkeit an, sie sei Händlerin ("tra­der"), ohne konkretere Angaben zu ihrer Erwerbstätigkeit zu machen. Auch die Gastgeberin hielt anlässlich des vorinstanzlichen Verfahrens ge­genüber der kantonalen Migrationsbehörde einzig fest, die Eingeladene sei als Hausfrau und Verkäuferin tätig. Welchen Lohn die Gesuchstellerin mit ihrer aktuellen (Teilzeit-)Erwerbstätigkeit erzielt, kann den Akten nicht entnommen werden; entsprechende Arbeitsverträge oder allfällige Einkom­mensbelege, welche die geltend gemachten beruflichen Bindun­gen der Eingeladenen in Nigeria zweifelsfrei nachgewiesen hätten, wur­den von den Beteiligten nicht vorgewiesen. Vor diesem Hintergrund er­scheint fraglich, ob die Gesuchstellerin tatsächlich über eine massgebli­che berufliche Verankerung bzw. eine gesicherte wirtschaftliche Existenz in ihrem Heimatland verfügt, die das Risiko einer nicht fristgerechten Wie­derausreise nach einem Besuchsaufenthalt in der Schweiz entscheidend herabsetzen könnte. Infolgedessen müssen die Beteuerungen auf Be­schwerdeebene, wonach die Eingeladene rechtzeitig in ihr Heimatland zu­rückkehren werde, als nicht ausschlaggebend bezeichnet werden.</w:t>
      </w:r>
    </w:p>
    <w:p>
      <w:r>
        <w:rPr>
          <w:b/>
        </w:rPr>
        <w:t>E. 7.3</w:t>
      </w:r>
    </w:p>
    <w:p>
      <w:r>
        <w:t>Gemäss den vorstehenden Erwägungen durfte die Vorinstanz zu Recht davon ausgehen, die fristgerechte Wiederausreise sei nicht hinrei­chend gewährleistet. Zwar lässt sich diese Prognose nicht zu ei­ner gesi­cherten Feststel­lung verdichten; sie genügt jedoch, um die Er­teilung einer Einreise­bewilligung, auf welche ohnehin kein Rechts­anspruch besteht, abzu­lehnen. An der Richtigkeit der obgenannten Einschätzung ändert auch die Tat­sa­che nichts, dass die Beschwerdeführerin die rechtzeitige Rückkehr ih­res Gastes zugesichert hat. Die Integrität der Beschwerdeführerin in ihrer Ei­gen­schaft als Gastgeberin wird auch gar nicht in Zweifel gezogen. Indes­sen sind bei der Abwägung des Risikos einer nicht fristgerechten Wie­deraus­reise nicht so sehr die Einstellung und die Ab­sichten der Gastge­be­rin, sondern in erster Linie das mögliche Verhalten des Gastes selbst von Bedeutung. Nur Letzterer ist in der Lage, hinrei­chend Ge­währ für eine fristgerechte und anstandslo­se Wiederausreise zu bie­ten. Mit der Unter­zeichnung einer Garantieerklärung kann die Gastgeberin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 Auch die weiteren Ausführungen der Beschwer­deführerin sind nicht geeignet, zu einer von der Vorinstanz abwei­chenden, rechtlichen Würdigung zu gelangen.</w:t>
      </w:r>
    </w:p>
    <w:p>
      <w:r>
        <w:rPr>
          <w:b/>
        </w:rPr>
        <w:t>E. 8</w:t>
      </w:r>
    </w:p>
    <w:p>
      <w:r>
        <w:t>Aus den dargelegten Gründen ist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9</w:t>
      </w:r>
    </w:p>
    <w:p>
      <w:r>
        <w:t>Entsprechend dem Ausgang des Verfahrens wird die unter­liegende Be­schwerdeführerin kostenpflichtig (Art. 63 Abs. 1 VwVG). Die Ver­fahrenskos­ten sind auf Fr. 700.- festzusetzen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