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C-1587/2022 vom 2. August 2024</w:t>
      </w:r>
    </w:p>
    <w:p>
      <w:r>
        <w:t>Bundesverwaltungsgericht, 2024-08-02, IT</w:t>
      </w:r>
    </w:p>
    <w:p>
      <w:r>
        <w:rPr>
          <w:b/>
        </w:rPr>
        <w:t xml:space="preserve">Quelle: </w:t>
      </w:r>
      <w:r>
        <w:t>https://mcp.opencaselaw.ch/entscheid/bvger_C-1587_2022</w:t>
      </w:r>
    </w:p>
    <w:p>
      <w:r>
        <w:t>FR: TAF C-1587/2022 du 2 août 2024</w:t>
      </w:r>
    </w:p>
    <w:p>
      <w:r>
        <w:t>IT: TAF C-1587/2022 del 2 agosto 2024</w:t>
      </w:r>
    </w:p>
    <w:p>
      <w:pPr>
        <w:pStyle w:val="Heading2"/>
      </w:pPr>
      <w:r>
        <w:t>Regeste</w:t>
      </w:r>
    </w:p>
    <w:p>
      <w:r>
        <w:t>Revisione della rendita</w:t>
      </w:r>
    </w:p>
    <w:p>
      <w:pPr>
        <w:pStyle w:val="Heading2"/>
      </w:pPr>
      <w:r>
        <w:t>Erwägungen</w:t>
      </w:r>
    </w:p>
    <w:p>
      <w:r>
        <w:rPr>
          <w:b/>
        </w:rPr>
        <w:t>E. 1</w:t>
      </w:r>
    </w:p>
    <w:p>
      <w:r>
        <w:t>consid. 3.2).</w:t>
      </w:r>
    </w:p>
    <w:p>
      <w:r>
        <w:rPr>
          <w:b/>
        </w:rPr>
        <w:t>E. 1.1</w:t>
      </w:r>
    </w:p>
    <w:p>
      <w:r>
        <w:t>Il Tribunale amministrativo federale (TAF) esamina d'ufficio e con piena cognizione la sua competenza rispettivamente l'ammissibilità dei gravami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1.5</w:t>
      </w:r>
    </w:p>
    <w:p>
      <w:r>
        <w:t>Va peraltro precisato che nel caso di specie è oggetto del litigio anche l’assegnazione della rendita intera dell’assicurazione svizzera per l’invali- dità dal 1° gennaio 2020 al 31 agosto 2020. In effetti, secondo costante giurisprudenza, assegnando retroattivamente una rendita degressiva e/o limitata nel tempo, l’autorità amministrativa disciplina un rapporto giuridico suscettibile, in caso di contestazione, di essere oggetto della lite e dell’im- pugnativa. Qualora sia contestata solo la riduzione o la soppressione delle prestazioni, il potere cognitivo del giudice non è dunque limitato nel senso che egli debba astenersi dallo statuire circa i periodi per i quali il riconosci- 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C-3164/2017 del 14 novembre 2019 consid. 1.5, C-3859/2016 del 22 maggio 2017 consid. 7 e C-6248/2011 del 25 luglio 2012 consid. 10 con rinvii).</w:t>
      </w:r>
    </w:p>
    <w:p>
      <w:r>
        <w:rPr>
          <w:b/>
        </w:rPr>
        <w:t>E. 2.1</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l’ALC (RS 0.142.112.681) ed il relativo Allegato II che regola il coordinamento dei sistemi di sicurezza sociale.</w:t>
      </w:r>
    </w:p>
    <w:p>
      <w:r>
        <w:rPr>
          <w:b/>
        </w:rPr>
        <w:t>E. 2.2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w:t>
      </w:r>
    </w:p>
    <w:p>
      <w:r>
        <w:t>C-1587/2022 Pagina 12 Consiglio del 16 settembre 2009 (RS 0.831.109.268.11) che stabilisce le modalità di applicazione del regolamento (CE) n. 883/2004 (art. 1 cpv. 1 Allegato II ALC in relazione con la Sezione A dell’Allegato II ALC). Il Rego- lamento (CE) n. 883/2004 è stato ulteriormente modificato dai regolamenti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una rendita d'invalidità svizzera, sono regolate dal diritto interno svizzero (art. 4 e art. 46 cpv. 3 del Regolamento n. 883/2004 in relazione con l’Allegato II del regolamento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3.1.1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3.1.2</w:t>
      </w:r>
    </w:p>
    <w:p>
      <w:r>
        <w:t>Nel caso in cui la decisione prevede la concessione di una rendita con quote decrescenti (rendita scalare) o a tempo determinato, se la mo- difica determinante avviene prima del 1° gennaio 2022, si applicano le di- 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 88a OAI (Circolare dell’UFAS sull’invalidità e sulla rendita nell’assicurazione per</w:t>
      </w:r>
    </w:p>
    <w:p>
      <w:r>
        <w:t>C-1587/2022 Pagina 13 l’invalidità [CIRAI; valida dal 1° gennaio 2022, stato al 1° luglio 2022], cifra marginale 9102).</w:t>
      </w:r>
    </w:p>
    <w:p>
      <w:r>
        <w:rPr>
          <w:b/>
        </w:rPr>
        <w:t>E. 3.1.3</w:t>
      </w:r>
    </w:p>
    <w:p>
      <w:r>
        <w:t>Nella presente fattispecie, l’autorità inferiore ha riconosciuto il diritto di percepire una rendita dal 1° gennaio 2020 al 31 agosto 2020. Pertanto, si applicano di principio le disposizioni legali in vigore fino al 31 dicembre 2021.</w:t>
      </w:r>
    </w:p>
    <w:p>
      <w:r>
        <w:rPr>
          <w:b/>
        </w:rPr>
        <w:t>E. 3.2</w:t>
      </w:r>
    </w:p>
    <w:p>
      <w:r>
        <w:t>Giova altresì rilevare che il potere cognitivo di questo Tribunale è deli- mitato dalla data della decisione impugnata, in concreto il 28 febbraio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non- ché 9C_116/2010 del 20 aprile 2010 consid. 3.2.2; DTF 118 V 200 consid. 3a in fine).</w:t>
      </w:r>
    </w:p>
    <w:p>
      <w:r>
        <w:rPr>
          <w:b/>
        </w:rPr>
        <w:t>E. 4</w:t>
      </w:r>
    </w:p>
    <w:p>
      <w:r>
        <w:t>In via preliminare, e nella misura in cui il ricorrente avesse voluto far valere una violazione del diritto di essere sentito attraverso l’indicazione: “Nulla è tuttavia indicato nella decisione impugnata circa la valutazione effettuata dal Servizio Medico Regionale”, giova rilevare che tale censura è infondata, avuto riguardo al fatto che nella motivazione della decisione impugnata è fatto riferimento alle prese di posizione del SMR. Peraltro, questo Tribunale osserva che, in seguito all’emanazione del progetto di decisione del 13 ot- tobre 2021, il 22 ottobre 2021 l’UAIE ha trasmesso al rappresentante del ricorrente copia del proprio incarto (doc. UAIE 85 pag. 220 e doc. UAIE 86 pag. 221) e in sede di ricorso ha ricevuto anche l’annotazione SMR del 18 gennaio 2022 (che ha confermato le proprie precedenti conclusioni). Per- tanto, quand’anche si volesse ritenere che la mancata trasmissione al ri- corrente da parte dell’UAIE prima dell’emanazione della decisione impu- gnata dell’annotazione del SMR del 18 gennaio 2020 fosse costitutiva di una violazione del diritto di esser sentito, va allora rilevato che tale viola- zione è da considerarsi siccome sanata dinanzi al TAF, autorità di ricorso che gode di piena cognizione (v. sentenza del Tribunale federale C_469/2011 del 18 giugno 2012 consid. 4.2), con l’invio di tale annotazione al ricorrente da parte di questo Tribunale con ordinanza del 12 luglio 2022.</w:t>
      </w:r>
    </w:p>
    <w:p>
      <w:r>
        <w:t>C-1587/2022 Pagina 14 Il fatto poi che dei documenti agli atti possano non essere stati debitamente tenuti in considerazione, o meno, dall’autorità inferiore non costituisce di principio, segnatamente in assenza di precisazione in merito da parte del ricorrente, una violazione del diritto di essere sentito, ma, se del caso, un accertamento inesatto ed incompleto dei fatti giuridicamente rilevanti (v. su questo punto il considerando 9 del presente giudizio).</w:t>
      </w:r>
    </w:p>
    <w:p>
      <w:r>
        <w:rPr>
          <w:b/>
        </w:rPr>
        <w:t>E. 5</w:t>
      </w:r>
    </w:p>
    <w:p>
      <w:r>
        <w:t>Secondo le norme applicabili, ogni richiedente, per avere diritto ad una ren- dita dell'assicurazione invalidità svizzera, deve adempiere cumulativa- mente le seguenti condizioni:  essere invalido ai sensi della LPGA e della LAI (art. 8 LPGA nonché art. 4, 28 cpv. 1 e 29 cpv. 1 LAI);  aver pagato i contributi all'AVS/AI svizzera o ad un'assicurazione sociale assimilata (art. 6 e 45 del regolamento [CE] n. 883/2004) di uno Stato membro dell'Unione europea (UE) o dell'Associazione europea di libero scambio (AELS), durante tre anni (art. 36 cpv. 1 LAI), ferma restando la necessità di un periodo contributivo minimo in Svizzera di un anno (art. 36 cpv. 2 LAI in combinazione con l'art. 29 cpv. 1 LAVS; cfr. DTF 131 V 390; 130 V 335 consid. 3 e 4). Il ricorrente adempie in ogni caso la condizione della durata minima di con- tribuzione, avendo pagato contributi per più di tre anni, fermo restando che ha versato all’assicurazione svizzera per la vecchiaia, i superstiti e l’invali- dità contributi per più di un anno (cfr. doc. UAIE 3 pag. 8 [dichiarazione del datore di lavoro] e doc. UAIE 165 pag. 455 [disdetta del contratto di la- voro]).</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6.2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w:t>
      </w:r>
    </w:p>
    <w:p>
      <w:r>
        <w:t>C-1587/2022 Pagina 15 d'incapacità al lavoro di lunga durata, possono essere prese in considera- zione anche le mansioni esigibili in un'altra professione o campo d'attività (art. 6 LPGA).</w:t>
      </w:r>
    </w:p>
    <w:p>
      <w:r>
        <w:rPr>
          <w:b/>
        </w:rPr>
        <w:t>E. 6.3</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w:t>
      </w:r>
    </w:p>
    <w:p>
      <w:r>
        <w:rPr>
          <w:b/>
        </w:rPr>
        <w:t>E. 6.4</w:t>
      </w:r>
    </w:p>
    <w:p>
      <w:r>
        <w:t>L'art. 28 cpv. 1 LAI prevede che l'assicurato ha diritto ad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6.5</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 gibile da lui dopo la cura medica e l'eventuale esecuzione di provvedimenti d'integrazione (reddito da invalido), tenuto conto di una situazione equili- brata del mercato del lavoro, è confrontato con il reddito che egli avrebbe potuto ottenere se non fosse diventato invalido (reddito da valido; metodo generale del raffronto dei redditi).</w:t>
      </w:r>
    </w:p>
    <w:p>
      <w:r>
        <w:rPr>
          <w:b/>
        </w:rPr>
        <w:t>E. 6.6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7.1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w:t>
      </w:r>
    </w:p>
    <w:p>
      <w:r>
        <w:t>C-1587/2022 Pagina 16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(134 V 231 consid. 5.1; 125 V 351 consid. 3a). Il rapporto medico deve altresì essere redatto da medici che dispon- gono delle qualifiche specialistiche richieste nel singolo caso (sentenze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riguardo va tuttavia pre- 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7.2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w:t>
      </w:r>
    </w:p>
    <w:p>
      <w:r>
        <w:t>C-1587/2022 Pagina 17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7.3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(SMR) e del servizio medico dell’UAIE sono da considerare quali rapporti medici in- terni all’amministrazione (sentenze del TF 9C_159/2016 del 2 novembre 2016 consid. 2.2 e 8C_197/2014 del 3 ottobre 2014 consid. 4).</w:t>
      </w:r>
    </w:p>
    <w:p>
      <w:r>
        <w:t>C-1587/2022 Pagina 18 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 Per l’art. 59 cpv. 2 e cpv. 2bis LAI, i servizi medici regionali (SMR) sono a disposizione degli uffici AI per valutare le condizioni mediche del diritto alle prestazioni, stabiliscono la capacità funzionale dell’assicurato, determi- nante per l’AI secondo l’art. 6 LPGA, di esercitare un’attività lucrativa ra- gionevolmente esigibile o di svolgere le mansioni consuete in una misura ragionevolmente esigibile e sono indipendenti per quanto concerne le de- cisioni in ambito medico nel caso specifico.</w:t>
      </w:r>
    </w:p>
    <w:p>
      <w:r>
        <w:rPr>
          <w:b/>
        </w:rPr>
        <w:t>E. 7.4</w:t>
      </w:r>
    </w:p>
    <w:p>
      <w:r>
        <w:t>Se occorre, i servizi medici regionali possono eseguire direttamente esami medici sugli assicurati; mettono per scritto i risultati degli esami (art. 49 cpv. 2 OAI [RS 831.201]). Ai rapporti del SMR può essere attribuito pieno valore probatorio come alle perizie mediche esterne, a condizione che essi soddisfino i presupposti giurisprudenziali di una perizia medica (DTF 134 V 231 consid. 5.1) e siano redatti da un medico che dispone delle qualifiche specialistiche richieste nel singolo caso (DTF 137 V 210 consid. 1.2.1). Nel caso in cui sussista anche il minimo dubbio sull’affidabilità e sulla concludenza dei pareri medici del SMR, non è possibile decidere uni- camente sui rapporti SMR, ma occorre effettuare un completamento dell’istruttoria (DTF 139 V 225 consid. 5.2; sentenza del TF 8C_262/2016 del 22 settembre 2016 consid. 4.2).</w:t>
      </w:r>
    </w:p>
    <w:p>
      <w:r>
        <w:rPr>
          <w:b/>
        </w:rPr>
        <w:t>E. 8</w:t>
      </w:r>
    </w:p>
    <w:p>
      <w:r>
        <w:t>Una rendita limitata e/o crescente nel tempo corrisponde, materialmente, ad una revisione ai sensi dell’art. 17 LPGA e se ne deve pertanto seguire i principi.</w:t>
      </w:r>
    </w:p>
    <w:p>
      <w:r>
        <w:t>C-1587/2022 Pagina 19</w:t>
      </w:r>
    </w:p>
    <w:p>
      <w:r>
        <w:rPr>
          <w:b/>
        </w:rPr>
        <w:t>E. 8.1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8.2</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8.3</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8.4</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 tinuato a essere versata a causa dell’ottenimento indebito della medesima o della violazione dell’obbligo di informare.</w:t>
      </w:r>
    </w:p>
    <w:p>
      <w:r>
        <w:rPr>
          <w:b/>
        </w:rPr>
        <w:t>E. 9</w:t>
      </w:r>
    </w:p>
    <w:p>
      <w:r>
        <w:t>Nel caso concreto, occorre dunque ancora esaminare se la decisione im- pugnata si fonda su un accertamento esatto e completo dei fatti giuridica- mente rilevanti.</w:t>
      </w:r>
    </w:p>
    <w:p>
      <w:r>
        <w:t>C-1587/2022 Pagina 20</w:t>
      </w:r>
    </w:p>
    <w:p>
      <w:r>
        <w:rPr>
          <w:b/>
        </w:rPr>
        <w:t>E. 9.1</w:t>
      </w:r>
    </w:p>
    <w:p>
      <w:r>
        <w:t>È incontestato – né appare esservi motivo per questo Tribunale di in- tervenire d’ufficio – che la rendita intera accordata al ricorrente a decorrere dal 1° gennaio 2020 al 31 agosto 2020 è legittima e giustificata e resta acquisita, senza possibilità di una nuova decisione dell’UAIE a detrimento dell’insorgente (benché la decisione impugnata del 28 febbraio 2022 debba essere annullata per i motivi di cui si dirà in seguito). Essa è fondata su sufficiente documentazione medico specialistica e una convincente valuta- zione – da questo profilo – delle conseguenti incapacità lavorative. In so- stanza, questo Tribunale osserva che è incontestato che è stata legittima- mente ritenuta, da tutti i medici coinvolti nella fattispecie – segnatamente in particolare dal dott. D._______ e dalla dott.ssa E._______, specialisti in chirurgia ortopedica, dal dott. F._______, medico LAINF specialista in chi- rurgia ortopedica, e dalla dott.ssa G._______, specialista in medicina in- terna generale – un’incapacità lavorativa nell’attività abituale di assistente di cura e in attività lavorative adeguate del 100% dal 22 gennaio 2019 al 26 gennaio 2019, del 100% dal 5 febbraio 2019 al 18 marzo 2019, del 50% dal 19 marzo 2019, del 100% dal 4 settembre 2019 fino ad almeno al 28 maggio 2020 in relazione alle problematiche mediche che hanno limitato l’utilizzo del braccio destro. Tale attestata incapacità lavorativa comporta sicuramente il riconosci- mento, da parte dell’assicurazione svizzera per l’invalidità, di una rendita intera dal 1° gennaio 2020 (ossia trascorso un anno di attesa dall’infortunio dell’11 gennaio 2019) al 31 agosto 2020 (ossia 3 mesi dopo il certificato medico del 28 maggio 2020 emesso dalla dott. E._______ [non agli atti] ma evocato nel rapporto medico LAINF del 5 agosto 2020 del dott. F._______ [doc. UAIE 185 pag. 488 {secondo cui dal certificato del 28 mag- gio 2020 emergerebbe una totale incapacità lavorativa nell’attività di assi- stente di cura, ma una residua capacità lavorativa del 50% in attività ade- guate}] e nei rapporti del medico SMR del 17 agosto 2020 [doc. UAIE 36 pag. 116] del 29 marzo 2021 [doc UAIE 54 pag. 155], del 12 ottobre 2021 [doc. UAIE 79 pag. 204], del 18 gennaio 2022 [doc. UAIE 96 pag. 253], nonché nell’annotazione SMR del 3 giugno 2022 [allegata al doc. TAF 7]). In altre parole, l’eventuale miglioramento che sarebbe stato evocato nel certificato medico del 28 maggio 2020 avrebbe effetti sull’erogazione della rendita intera, nel senso di una diminuzione oppure della soppressione della rendita intera medesima (giusta l’art. 88a cpv. 1 OAI), solo dopo il 31 agosto 2020 (ossia tre mesi dopo il miglioramento), ciò che rende in ogni caso giustificata l’erogazione di una rendita intera fino al 31 agosto 2020.</w:t>
      </w:r>
    </w:p>
    <w:p>
      <w:r>
        <w:t>C-1587/2022 Pagina 21</w:t>
      </w:r>
    </w:p>
    <w:p>
      <w:r>
        <w:rPr>
          <w:b/>
        </w:rPr>
        <w:t>E. 9.2</w:t>
      </w:r>
    </w:p>
    <w:p>
      <w:r>
        <w:t>Per quanto attiene invece al diritto ad un’eventuale rendita dopo il 31 agosto 2020, si rileva che gli atti di causa non consentono di condividere la conclusione cui è giunta l’autorità inferiore.</w:t>
      </w:r>
    </w:p>
    <w:p>
      <w:r>
        <w:rPr>
          <w:b/>
        </w:rPr>
        <w:t>E. 9.2.1</w:t>
      </w:r>
    </w:p>
    <w:p>
      <w:r>
        <w:t>In merito al miglioramento dello stato di salute del ricorrente che sa- rebbe intervenuto il 28 maggio 2020 (ossia a partire dalla visita della dott.ssa E._______), questo Tribunale rileva innanzitutto che agli atti non figura il rapporto della dott.ssa E._______ del 28 maggio 2020 attestante una ritrovata capacità lavorativa del 50% in attività adatte. Di tale rapporto è fatta (succinta) menzione nel capitolo “Riassunto degli atti” del rapporto LAINF del 5 agosto 2020 del dott. F._______ (doc. UAIE 185 pag. 488) e nel rapporto finale SMR del 17 agosto 2020 della dott.ssa G._______ (doc. UAIE 36 pag. 117). Questo Tribunale osserva altresì che nei seguenti rap- porti, segnatamente dell’8 settembre 2020 (doc. UAIE 43 pag. 137) e del 25 marzo 2021 (doc. UAIE 53 pag. 153), la dott.ssa E._______ non ha mai fatto menzione al rapporto o alla visita del 28 maggio 2020 e alla ivi ritenuta ritrovata capacità lavorativa del 50% in attività adatte. Neppure nel rapporto del 1° luglio 2021 (doc. UAIE 63 pag. 175) il dott. D._______ riprende o spiega la ritrovata capacità lavorativa del 50% in attività adatte che sarebbe intervenuta dal 28 maggio 2020. Al riguardo, questo Tribunale rileva che il dott. F._______, medico LAINF specialista in chirurgia ortopedica, non in- dica in cosa sarebbe consistito il miglioramento dello stato di salute – né nel riassunto degli atti né nella sua valutazione – che avrebbe comportato il passaggio da un’incapacità lavorativa totale a una capacità lavorativa del 50% in attività adatte a decorrere dal 28 maggio 2020. Informazioni con- cludenti al riguardo non sono reperibili neppure nel rapporto finale SMR del 17 agosto 2020, né nelle prese di posizione seguenti (segnatamente del 29 marzo 2021, del 20 luglio 2021, del 12 ottobre 2021 e del 18 gennaio 2022), né nella decisione impugnata, né nella risposta al ricorso. Questo Tribunale osserva altresì che il dott. H._______, nel rapporto del 31 dicem- bre 2021 (doc. UAIE 94 pagg. 249 e 250), riporta/attesta che nel maggio 2020 l’insorgente ha iniziato ad accusare un peggioramento della funzio- nalità all’arto superiore destro e in particolare alla mano (di cui si dirà mag- giormente in seguito). In conclusione, questo Tribunale osserva che i me- dici coinvolti nella fattispecie, segnatamente il dott. D._______, il dott. F._______ e la dott.ssa G._______, non hanno spiegato in maniera chiara e convincente in cosa sarebbe consistito il miglioramento dello stato di sa- lute del ricorrente a decorrere dal 28 maggio 2020, né si sono confrontati con il peggioramento – proprio a far tempo dal mese di maggio 2020 – indicato nel rapporto del 31 dicembre 2021 del dott. H._______. In siffatte circostante, questo Tribunale osserva che non era né è necessaria l’assun- zione agli atti di causa del certificato del 28 maggio 2020 della dott.ssa</w:t>
      </w:r>
    </w:p>
    <w:p>
      <w:r>
        <w:t>C-1587/2022 Pagina 22 E._______, in quanto lo stesso non potrebbe comunque comportare un diverso esito della procedura dinanzi al TAF (sulla questione della valuta- zione anticipata delle prove, v. DTF 146 III 73 consid. 5..2.2, 115 Ia 8 con- sid. 3a e 104 I 285 consid. 6.3.1; cfr. pure la sentenza del Tribunale federale 8C_7/2023 del 22 giugno 2023 consid. 4 con rinvio) conto tenuto dell’ac- certamento incompleto e inesatto dei fatti giuridicamente rilevanti di cui si dirà anche nei considerandi seguenti rispettivamente del fatto che, già nel certificato dell’8 settembre 2020, la stessa dott. E._______ ha indicato una “recente riacutizzazione” dei dolori, dunque sostanzialmente un peggiora- mento dello stato di salute del ricorrente.</w:t>
      </w:r>
    </w:p>
    <w:p>
      <w:r>
        <w:rPr>
          <w:b/>
        </w:rPr>
        <w:t>E. 9.2.2</w:t>
      </w:r>
    </w:p>
    <w:p>
      <w:r>
        <w:t>Quanto al miglioramento dello stato di salute del ricorrente che sa- rebbe intervenuto il 19 giugno 2020 (ossia quello ritenuto dal medico LAINF dott. F._______ nel suo rapporto del 5 agosto 2020 [doc. 185 pag. 488] e ripreso dal medico SMR e dall’autorità inferiore), questo Tribunale rileva che non è stato spiegato dal medico LAINF in cosa sarebbe consistito l’ul- teriore miglioramento dello stato di salute (dopo appena tre settimane da quello che sarebbe intervenuto il 28 maggio 2020) comportante, da un lato, una capacità lavorativa del 50% in attività adatte con ingaggio limitato del braccio destro e, dall’altro lato, una capacità lavorativa totale in attività che non richiedono praticamente nessun ingaggio del braccio destro. Informa- zioni chiare e convincenti in merito a tale preteso ulteriore miglioramento dello stato di salute che sarebbe intervenuto il 19 giugno 2020 non si tro- vano neppure nei rapporti SMR, nella decisione impugnata, nella risposta al ricorso. In siffatte circostanze, non può dunque essere confermata la valutazione dell’autorità inferiore secondo cui il ricorrente ha avuto un mi- glioramento del suo stato di salute il 19 giugno 2020.</w:t>
      </w:r>
    </w:p>
    <w:p>
      <w:r>
        <w:rPr>
          <w:b/>
        </w:rPr>
        <w:t>E. 9.2.3</w:t>
      </w:r>
    </w:p>
    <w:p>
      <w:r>
        <w:t>Questo Tribunale osserva infatti che dagli atti di cui all’incarto – e fino alla data della decisione impugnata – appare piuttosto esservi stato un peg- gioramento dello stato di salute del ricorrente.</w:t>
      </w:r>
    </w:p>
    <w:p>
      <w:r>
        <w:rPr>
          <w:b/>
        </w:rPr>
        <w:t>E. 9.2.4</w:t>
      </w:r>
    </w:p>
    <w:p>
      <w:r>
        <w:t>In particolare, il dott. F._______, nel suo rapporto del 5 agosto 2020, attesta che l’inserzione scapolare degli elevatori è sensibile a sinistra (l’11 marzo 2020 era invece indolente), che vi è una marcata ipotrofia muscolare all’emicinto scapolare destro (l’11 marzo 2020 non era invece emerso nulla al riguardo) e che vi sono zone d’irritazione medio-cervicali (l’11 marzo erano solo leggere e a sinistra). Per quanto concerne la mobilità, nel rap- porto del 5 agosto 2020 è stata indicata una rotazione del rachide cervicale di 50° da ambo i lati, ossia una rotazione inferiore rispetto a quella di cui al rapporto dell’11 marzo 2020, la quale era 50-0-70. Il 5 agosto 2020 veniva inoltre indicata una elevazione a destra di 140° (mentre era di ben 170° l’11</w:t>
      </w:r>
    </w:p>
    <w:p>
      <w:r>
        <w:t>C-1587/2022 Pagina 23 marzo 2020) e un’abduzione a destra di 140° (che era però di 150° l’11 marzo 2020). La rotazione esterna è rimasta invariata tra i due rapporti (ossia 30° a destra), ma nel rapporto del 5 agosto 2020 è indicato che la posizione estrema è dolente a destra (allorquando nel rapporto dell’11 marzo 2020 non erano stati segnalati dolori al riguardo). Per quanto con- cerne la mobilità del rachide cervicale, il dott. F._______ ha attestato, nel rapporto del 5 agosto 2020, che la sollecitazione dolorosa del tendine ca- polungo del bicipite è diventata, rispetto al rapporto dell’11 marzo 2020, lancinante.</w:t>
      </w:r>
    </w:p>
    <w:p>
      <w:r>
        <w:rPr>
          <w:b/>
        </w:rPr>
        <w:t>E. 9.2.5</w:t>
      </w:r>
    </w:p>
    <w:p>
      <w:r>
        <w:t>Questo Tribunale osserva, inoltre, che appare esservi stata un’evolu- zione – nel senso di un peggioramento – anche dei dolori riscontrati alle visite mediche. Segnatamente, nel rapporto del 24 marzo 2020, la dott.ssa E._______ ha attestato un miglioramento dei dolori e indicato l’interruzione dell’assunzione di medicamenti antidolorifici perché non più necessari. In seguito, nel rapporto dell’8 settembre 2020, la dott.ssa E._______ ha atte- stato una “recente riacutizzazione (dei dolori) dopo avere iniziato (il 1° set- tembre 2020) un nuovo impiego presso il Centro Commerciale di K._______”, mentre il 25 marzo 2021 ha riportato l’insorgenza risalente a due/tre mesi prima di un dolore costante ed importante. Pure il dott. D._______, nel suo rapporto del 1° luglio 2021, fa stato di un aumento dei dolori, mentre il dott. H._______, nel suo rapporto del 31 dicembre 2021, attesta che il ricorrente da novembre 2021, ha dolori anche a riposo. Que- sto Tribunale osserva che il 28 giugno 2021 è inoltre stata eseguita alla spalla destra una RMN. Quest’ultima ha evidenziato un’artrosi acromion- claveare, una riduzione dello spazio sottoacromiale, un versamento inte- rarticolare, una tenovaginalite reattiva del CLB, una lesione completa del tendine del sovraspinato, l’integrità del sottospinato e il tendine del sotto- scapolare disomogeneo (doc. UAIE 119 pag. 391). Pertanto – e contraria- mente a quanto indicato dal dott. D._______ nel suo rapporto del 1° luglio 2021 e dal medico SMR secondo i quali l’ancoraggio tendineo sarebbe mantenuto –, dalla RMN del 28 giugno 2021 è invece emersa una lesione completa del tendine del sovraspinato, ossia una rirottura, come indicato dal dott. I._______ nel suo rapporto del 3 maggio 2022 (e segnalata quale rischio dalla dott.ssa E._______ già nel suo rapporto dell’8 settembre 2020). Seppure il rapporto del dott. I._______ sia di data posteriore alla decisione impugnata, lo stesso pone la diagnosi – di cuffia-artropatia Ha- mada di 2. grado su rirottura postero-superiore (sovraspinato e infraspi- nato) con evidente ingrossamento e atrofia della muscolatura sopraspinato e infraspinato su stato dopo ricostruzione artroscopica di una rottura della spalla destra nel 2019 – sulla base della RMN del 28 giugno 2021 (prece- dente alla data della decisione impugnata). La rirottura del tendine emersa</w:t>
      </w:r>
    </w:p>
    <w:p>
      <w:r>
        <w:t>C-1587/2022 Pagina 24 nel giugno 2021 comporta chiaramente ed inconfutabilmente un peggiora- mento dello stato di salute del ricorrente che appare avere comportato una limitazione funzionale della spalla destra e l’aumento dei dolori, fattori que- sti che possono avere un’incidenza sulla (residua) capacità lavorativa del ricorrente. Ora, questo Tribunale osserva agli atti di causa non figura al- cuna valutazione parte di un medico specialista che si esprima sulle con- seguenze del succitato peggioramento dello stato di salute del ricorrente sulla residua capacità lavorativa (il dott. I._______ non si è espresso su tale residua capacità lavorativa, il medico SMR non disponendo altresì della necessaria specializzazione per potere valutare con cognizione di causa gli effetti del peggioramento di cui trattasi).</w:t>
      </w:r>
    </w:p>
    <w:p>
      <w:r>
        <w:rPr>
          <w:b/>
        </w:rPr>
        <w:t>E. 9.3</w:t>
      </w:r>
    </w:p>
    <w:p>
      <w:r>
        <w:t>Certo, l’autorità inferiore ha ritenuto – a dimostrazione della ritrovata capacità lavorativa dell’insorgente – il fatto che il ricorrente ha seguito (con successo e senza assenze significative) i corsi attuati quali provvedimenti professionali (in parte pratici e in parte teorici). Al riguardo, questo Tribu- nale osserva che le formazioni professionali non sono prove di lavoro. Il fatto che il ricorrente ha portato a termine (con successo) le formazioni non significa di principio che può essere rinunciato ai necessari approfondi- menti medici e che l’insorgente è in grado di esercitare tali attività sostitu- tive al 100%, fermo restando che dalle carte processuali emerge che il ri- corrente ha subito un aumento dei dolori e un peggioramento della mobilità e della funzionalità della spalla in concomitanza con l’attuazione dei prov- vedimenti professionali (v. rapporti dell’8 settembre 2020 [nel quale fra l’al- tro viene indicato che l’entità della rottura tendinea è a rischio di recidive di nuove lesioni e pertanto sono da evitare tutte le attività che comportano movimenti ripetitivi] e del 25 marzo 2021 della dott.ssa E._______ [doc. UAIE 43 pag. 137 e doc. UAIE 53 pag. 153], del 1° luglio 2021 del dott. D._______ [doc. UAIE 63 pag. 175] e del 31 dicembre 2021 del dott. H._______ [doc. UAIE 94 pag. 249]). Questo Tribunale osserva ancora che l’autorità inferiore ha indicato che il ricorrente si è reinserito nel mondo del lavoro dopo avere sottoscritto un contratto di lavoro con la L._______ il 17 gennaio 2022. Tuttavia, nemmeno il lavoro a tempo determinato esercitato fino al 28 febbraio 2022 è risolutivo per determinare e confermare una ri- trovata capacità lavorativa totale del ricorrente. Infatti, tale attività eserci- tata a tempo determinato per solo un mese non può costituire una reale e valida prova di lavoro atta a determinare l’effettiva capacità lavorativa resi- dua e durevole del ricorrente. Da un lato, perché tale prova di lavoro è troppo corta e, dall’altro lato, perché non è dato di sapere (per il tramite di un’inchiesta/formulario del datore di lavoro) le mansioni del ricorrente, le ore di lavoro giornaliere, eccetera. Pertanto, anche da questo profilo, le conclusioni cui è giunta l’autorità inferiore non possono essere confermate.</w:t>
      </w:r>
    </w:p>
    <w:p>
      <w:r>
        <w:t>C-1587/2022 Pagina 25</w:t>
      </w:r>
    </w:p>
    <w:p>
      <w:r>
        <w:rPr>
          <w:b/>
        </w:rPr>
        <w:t>E. 9.4</w:t>
      </w:r>
    </w:p>
    <w:p>
      <w:r>
        <w:t>Per conseguenza, la decisione impugnata del 28 febbraio 2022, fon- data su un accertamento insufficiente dei fatti giuridicamente rilevanti, viola il diritto federale ed incorre nell’annullamento.</w:t>
      </w:r>
    </w:p>
    <w:p>
      <w:r>
        <w:rPr>
          <w:b/>
        </w:rPr>
        <w:t>E. 10</w:t>
      </w:r>
    </w:p>
    <w:p>
      <w:r>
        <w:t>Da quanto esposto, consegue che le ulteriori censure sollevate dal ricor- rente in questa sede – segnatamente quanto alla determinazione dei red- diti da valido e da invalido necessari per la valutazione del grado d’invalidità – possono restare indecise, l’autorità inferiore dovendo nuovamente pro- nunciarsi al riguardo nel rispetto delle norme e della giurisprudenza deter- minanti.</w:t>
      </w:r>
    </w:p>
    <w:p>
      <w:r>
        <w:rPr>
          <w:b/>
        </w:rPr>
        <w:t>E. 11.1</w:t>
      </w:r>
    </w:p>
    <w:p>
      <w:r>
        <w:t>Quando il TAF annulla una decisione, esso può sostituirsi all'autorità inferiore e giudicare direttamente nel merito o rinviare la causa, con istru- zioni vincolanti, all'autorità inferiore per un nuovo giudizio (art. 61 PA; cfr. sentenza del TAF C-2700/2021 del 20 settembre 2022 consid. 10.1). In particolare, esso si sostituirà all'autorità inferiore se gli atti sono completi e comunque sufficienti a statuire sull'applicazione del diritto federale (sen- tenza del TF 9C_162/2007 del 3 aprile 2008 consid. 2.3 con rinvii; DTF 126 II 43; 125 II 326; cfr. sentenza del TAF C-3196/2017 dell’11 settembre 2019 consid. 10.1 con rinvio).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 vanti e ad emanare una nuova decisione. L’autorità inferiore dovrà in par- ticolare fare effettuare una perizia bidisciplinare in medicina interna (al fine di valutare lo stato di salute generale del ricorrente [v. la sentenza del TAF C-1843/2023 del 30 maggio 2024]) e in ortopedia/reumatologia, da svol- gersi in Svizzera (i periti dovendo conoscere i principi della medicina assi- curativa svizzera [v., fra le altre, le sentenze del TAF C- 4118/2020 del 18 febbraio 2022 consid. 10.3, C- 2102/2020 del 27 gennaio 2022 consid. 7.11 e C-5774/2019 del 26 agosto 2021 consid. 6.2]), nonché ogni ulteriore esame che l’evoluzione nel tempo dello stato di salute del ricorrente do- vesse rendere ancora necessario (v. segnatamente il rapporto del 31 di- cembre 2021 del dott. H._______ in merito al peggioramento della funzio- nalità del braccio e della mano destri: è noto che una problematica alla cuffia dei rotatori può avere conseguenze anche dal profilo neurologico).</w:t>
      </w:r>
    </w:p>
    <w:p>
      <w:r>
        <w:t>C-1587/2022 Pagina 26</w:t>
      </w:r>
    </w:p>
    <w:p>
      <w:r>
        <w:rPr>
          <w:b/>
        </w:rPr>
        <w:t>E. 11.3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(segnatamente quello della doppia istanza con piena cognizione) nei casi in cui, come nella fattispecie, è richiesto un accertamento peritale indispensabile per potersi determinare nel caso in esame con cognizione di causa (DTF 137 V 210 consid. 4.4.1.4) e che peraltro l’autorità inferiore avrebbe già dovuto richiedere prima di emanare la decisione impugnata, gli elementi per dover agire in tal senso essendo già noti prima dell’emanazione della decisione impugnata. Peral- 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 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(cfr. sentenza del TF 9C_162/2007 del 3 aprile 2008 consid. 2.3 con rinvii [cfr. anche sentenze del TAF C- 4281/2020 consid. 9.3 e C-1722/2015 del 16 gennaio 2019 consid. 11.2 con rinvii]).</w:t>
      </w:r>
    </w:p>
    <w:p>
      <w:r>
        <w:rPr>
          <w:b/>
        </w:rPr>
        <w:t>E. 11.4</w:t>
      </w:r>
    </w:p>
    <w:p>
      <w:r>
        <w:t>Occorre peraltro rilevare che nell'ambito dell'accertamento ancora da esperire dall'autorità inferiore, a seguito del rinvio degli atti di causa, non sussiste l'eventualità di una nuova decisione dell'UAIE a detrimento dell'in- sorgente (cfr., sulla questione, DTF 137 V 314 consid. 3.2.4). In altri termini, e nell’ambito della nuova procedura dinnanzi all’autorità inferiore, una sop- pressione rispettivamente diminuzione della rendita intera accordata al ri- corrente non è ipotizzabile (cfr. sentenza del TAF C-2284/2022 del 12 giu- gno 2024 consid. 8.4 con rinvio), dal momento che le patologie di cui è</w:t>
      </w:r>
    </w:p>
    <w:p>
      <w:r>
        <w:t>C-1587/2022 Pagina 27 affetto comportano sicuramente la conferma della rendita intera dal 1° gen- naio 2020 al 31 agosto 2020 concessa già con decisione del 28 febbraio 2022, ritenuto altresì che secondo i rapporti e le prese di posizione del me- dico SMR del 17 agosto 2020, del 29 marzo 2021, del 12 ottobre 2021 e del 18 gennaio 2022, il primo eventuale miglioramento dello stato di salute del ricorrente sarebbe intervenuto al più presto nel maggio 2020 con la conseguenza che il diritto alla rendita potrebbe subire una modifica, giusta l’art. 88a cpv. 1 OAI, tre mesi più tardi e quindi a far tempo (al più presto) dal 1° settembre 2020. Nell’ambito della procedura consecutiva a questa sentenza del TAF, resta pertanto aperta solo la questione di sapere se gli ulteriori accertamenti sullo stato di salute e sulla residua capacità lavorativa siano suscettibili di giustificare una rendita (intera o meno) dopo il 31 ago- sto 2020.</w:t>
      </w:r>
    </w:p>
    <w:p>
      <w:r>
        <w:rPr>
          <w:b/>
        </w:rPr>
        <w:t>E. 12.1</w:t>
      </w:r>
    </w:p>
    <w:p>
      <w:r>
        <w:t>Secondo la giurisprudenza del Tribunale federale, la parte che ha pre- sentato ricorso in materia d’assegnazione o rifiuto di prestazioni assicura- tive è reputata vincente, dal profilo delle ripetibili, anche se la causa è rin- viata all’amministrazione per complemento istruttorio e nuova decisione (DTF 137 V 210 consid. 7.1; sentenze del TF 8C_437/2017 del 21 febbraio 2018 consid. 6 e 8C_75/2017 del 24 ottobre 2017 consid. 6).</w:t>
      </w:r>
    </w:p>
    <w:p>
      <w:r>
        <w:rPr>
          <w:b/>
        </w:rPr>
        <w:t>E. 12.2</w:t>
      </w:r>
    </w:p>
    <w:p>
      <w:r>
        <w:t>Di principio, la procedura di ricorso in caso di controversie relative all’assegnazione o al rifiuto di prestazioni dell’assicurazione per l’invalidità dinanzi al Tribunale amministrativo federale è soggetta a spese (art. 69 cpv. 1bis LAI in combinazione con l’art. 69 cpv. 2 LAI). Di regola, secondo l’art. 63 cpv. 1 PA, le spese processuali sono poste a carico della parte che soc- combe. Se questa soccombe solo parzialmente, le spese processuali sono ridotte (art. 63 cpv. 1 seconda frase PA).</w:t>
      </w:r>
    </w:p>
    <w:p>
      <w:r>
        <w:rPr>
          <w:b/>
        </w:rPr>
        <w:t>E. 12.3</w:t>
      </w:r>
    </w:p>
    <w:p>
      <w:r>
        <w:t>Visto l’esito della causa, ritenuto che il ricorrente è vincente in causa, non sono prelevate delle spese processuali (art. 63 PA). L’anticipo equiva- lente alle presunte spese processuali di fr. 800.-, versato il 10 maggio 2022, sarà restituito al ricorrente allorquando il presente giudizio sarà cresciuto in giudicato. Nessuna spesa processuale è messa a carico dell’autorità in- feriore (art. 63 cpv. 2 PA).</w:t>
      </w:r>
    </w:p>
    <w:p>
      <w:r>
        <w:rPr>
          <w:b/>
        </w:rPr>
        <w:t>E. 12.4</w:t>
      </w:r>
    </w:p>
    <w:p>
      <w:r>
        <w:t>Ritenuto che l’insorgente, vincente in causa, è rappresentato in que- sta sede da mandatario professionale, si giustifica altresì l’attribuzione di spese ripetibili (art. 64 PA in combinazione con l’art. 7 segg. del regola- mento del 21 febbraio 2008 sulle tasse e sulle spese ripetibili nelle cause</w:t>
      </w:r>
    </w:p>
    <w:p>
      <w:r>
        <w:t>C-1587/2022 Pagina 28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 strazione per completamento istruttorio e nuova decisione). L’indennità a titolo di spese ripetibili, in assenza di una nota dettagliata, è fissata d’ufficio (art. 14 cpv. 2 TS-TAF) in fr. 2'800.- (compresi i disborsi ed esclusa l’impo- sta sull’IVA [cfr., fra le tante, la sentenza del TAF C-1378/2023 del 12 giu- gno 2024 consid. 5.2.6 con rinvio]), tenuto conto del lavoro utile e neces- sario svolto dal rappresentante del ricorrente. L’indennità per ripetibili è po- sta a carico dell’UAIE.</w:t>
      </w:r>
    </w:p>
    <w:p>
      <w:r>
        <w:t>(dispositivo alla pagina seguente)</w:t>
      </w:r>
    </w:p>
    <w:p>
      <w:r>
        <w:t>C-1587/2022 Pagina 29 Per questi motivi, il Tribunale amministrativo federale pronun- cia: 1. Il ricorso è accolto, nel senso che la decisione del 28 febbraio 2022 è an- nullata, nella misura in cui è soppresso il diritto ad una rendita intera suc- cessivamente al 31 agosto 2020, e gli atti di causa sono rinviati all’autorità inferiore affinché proceda al completamento dell’istruttoria e alla pronuncia di una nuova decisione ai sensi dei considerandi. 2. Non si prelevano spese processuali. L’anticipo di fr. 800.-, corrisposto il 10 maggio 2022, sarà restituito al ricorrente allorquando la presente sentenza sarà cresciuta in giudicato. 3. L’UAIE rifonderà al ricorrente fr. 2'800.- a titolo di spese ripetibili. 4. Questa sentenza è comunicata al ricorrente, all'autorità inferiore e all’UFAS.</w:t>
      </w:r>
    </w:p>
    <w:p>
      <w:r>
        <w:t>Il presidente del collegio: La cancelliera:</w:t>
      </w:r>
    </w:p>
    <w:p>
      <w:r>
        <w:t>Vito Valenti Anna Borner</w:t>
      </w:r>
    </w:p>
    <w:p>
      <w:r>
        <w:t>I rimedi giuridici sono menzionati alla pagina seguente.</w:t>
      </w:r>
    </w:p>
    <w:p>
      <w:r>
        <w:t>C-1587/2022 Pagina 30 Rimedi giuridici: Contro la presente decisione può essere interposto ricorso in materia di diritto pubblico al Tribunale federale, Schweizerhofquai 6, 6004 Lucerna, entro un termine di 30 giorni dalla sua notifica, nella misura in cui sono adempiute le condizioni di cui agli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