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C-1573/2007 vom 11. September 2007</w:t>
      </w:r>
    </w:p>
    <w:p>
      <w:r>
        <w:t>Bundesverwaltungsgericht, 2007-09-11, DE</w:t>
      </w:r>
    </w:p>
    <w:p>
      <w:r>
        <w:rPr>
          <w:b/>
        </w:rPr>
        <w:t xml:space="preserve">Quelle: </w:t>
      </w:r>
      <w:r>
        <w:t>https://mcp.opencaselaw.ch/entscheid/bvger_C-1573_2007</w:t>
      </w:r>
    </w:p>
    <w:p>
      <w:r>
        <w:t>FR: TAF C-1573/2007 du 11 septembre 2007</w:t>
      </w:r>
    </w:p>
    <w:p>
      <w:r>
        <w:t>IT: TAF C-1573/2007 del 11 settembre 2007</w:t>
      </w:r>
    </w:p>
    <w:p>
      <w:pPr>
        <w:pStyle w:val="Heading2"/>
      </w:pPr>
      <w:r>
        <w:t>Regeste</w:t>
      </w:r>
    </w:p>
    <w:p>
      <w:r>
        <w:t>Reisedokumente für ausländische Personen</w:t>
      </w:r>
    </w:p>
    <w:p>
      <w:pPr>
        <w:pStyle w:val="Heading2"/>
      </w:pPr>
      <w:r>
        <w:t>Erwägungen</w:t>
      </w:r>
    </w:p>
    <w:p>
      <w:r>
        <w:rPr>
          <w:b/>
        </w:rPr>
        <w:t>E. 1.1</w:t>
      </w:r>
    </w:p>
    <w:p>
      <w:r>
        <w:t>Das Bundesverwaltungsgericht beurteilt gemäss Art. 31 des Verwaltungsgerichtsgesetzes vom 17. Juni 2005 (VGG, SR 173.32) Beschwerden gemäss Art. 5 des Bundesgesetzes vom 20. Dezember 1968 über das Verwaltungsverfahren (VwVG, SR 172.021), sofern keine Ausnahme nach Art. 32 VGG vorliegt. Als Vorinstanzen gelten die in Art. 33 und Art. 34 VGG aufgeführten Behörden. Dazu gehören Verfügungen des Bundesamtes für Migration (BFM) betreffend Verweigerung der Ausstellung eines Identitätsausweises mit Rückreisevisum für schriftenlose Ausländer (Art. 20 Abs. 1 des Bundesgesetzes vom 26. März 1931 über Aufenthalt und Niederlassung der Ausländer [ANAG, SR 142.20] in Verbindung mit Art. 1 RDV).</w:t>
      </w:r>
    </w:p>
    <w:p>
      <w:r>
        <w:rPr>
          <w:b/>
        </w:rPr>
        <w:t>E. 1.2</w:t>
      </w:r>
    </w:p>
    <w:p>
      <w:r>
        <w:t>Gemäss Art. 37 VGG richtet sich das Verfahren vor dem Bundesverwaltungsgericht nach dem VwVG, sofern das Gesetz nichts anderes bestimmt.</w:t>
      </w:r>
    </w:p>
    <w:p>
      <w:r>
        <w:rPr>
          <w:b/>
        </w:rPr>
        <w:t>E. 1.3</w:t>
      </w:r>
    </w:p>
    <w:p>
      <w:r>
        <w:t>Die Beschwerdeführerin ist als Verfügungsadressatin durch die angefochtene Verfügung berührt und hat ein schutzwürdiges Interesse an deren Aufhebung (Art. 48 Abs. 1 VwVG). Sie ist daher zur Beschwerde legitimiert. Auf die frist- und formgerecht eingereichte Beschwerde ist somit einzutreten (Art. 49 ff. VwVG).</w:t>
      </w:r>
    </w:p>
    <w:p>
      <w:r>
        <w:rPr>
          <w:b/>
        </w:rPr>
        <w:t>E. 2.1</w:t>
      </w:r>
    </w:p>
    <w:p>
      <w:r>
        <w:t>Gemäss Art. 5 Abs. 2 RDV wird einer schutzbedürftigen, vorläufig aufgenommenen oder asylsuchenden Person unter bestimmten, abschliessend aufgezählten Voraussetzungen ein Identitätsausweis mit Rückreisevisum ausgestellt. Dazu gehören schwere Krankheit oder Tod von Familienangehörigen (Bst. a), die Erledigung von wichtigen und unaufschiebbaren höchstpersönlichen Angelegenheiten (Bst. b) und grenzüberschreitende Schulausflüge (Bst. c). Als Familienangehörige im Sinne von Abs. 2 Bst. a gelten Eltern, Geschwister, Ehegatten und Kinder. Den Ehegatten gleichgestellt sind die eingetragenen Partnerinnen und Partner sowie die in dauernder eheähnlicher Gemeinschaft zusammenlebenden Personen (Art. 5 Abs. 3 RDV).</w:t>
      </w:r>
    </w:p>
    <w:p>
      <w:r>
        <w:rPr>
          <w:b/>
        </w:rPr>
        <w:t>E. 2.2</w:t>
      </w:r>
    </w:p>
    <w:p>
      <w:r>
        <w:t>Die restriktive Regelung bezüglich der Ausstellung von Reisedokumenten an asylsuchende Personen leitet sich aus dem Grundgedanken des Instituts Asyl ab, bei dem davon ausgegangen wird, dass Personen in der Schweiz ein Asylgesuch stellen, um hier Schutz zu finden. Sie dürfen sich in aller Regel bis zum Abschluss des Verfahrens in der Schweiz aufhalten (Art. 42 Abs. 1 des Asylgesetzes vom 26. Juni 1998 [AsylG, SR 142.31]), die Möglichkeit von Auslandreisen besteht jedoch grundsätzlich nicht (vgl. Walter Stöckli, Asyl, in: Peter Uebersax/Peter Münch/Thomas Geiser/ Martin Arnold [Hrsg.], Ausländerrecht, Handbücher für die Anwaltspraxis Bd. 8, Basel 2002, Rz. 8.42). Zum anderen haben sich die Asylsuchenden den Schweizer Behörden zur Verfügung zu halten, so lange sie sich im Verfahren befinden (Art. 8 Abs. 3 AsylG).</w:t>
      </w:r>
    </w:p>
    <w:p>
      <w:r>
        <w:rPr>
          <w:b/>
        </w:rPr>
        <w:t>E. 3</w:t>
      </w:r>
    </w:p>
    <w:p>
      <w:r>
        <w:t>Die Beschwerdeführerin ersuchte um die Ausstellung eines Identitätsausweises mit Rückreisevisum, um ihren Mann ins Ausland begleiten zu können, der seinen schwer kranken Vater besuchen möchte. Die Vorinstanz wies dieses Gesuch ab. In der angefochtenen Verfügung stellte die Vorinstanz zunächst fest, dass die Beschwerdeführerin als schriftenlos gelte, da sie sich im Asylverfahren befinde (Art. 7 Abs. 2 RDV). Der erkrankte Schwiegervater gehöre jedoch nicht zum abschliessend aufgeführten Kreis der Familienangehörigen (Art. 5 Abs. 2 Bst. a und Abs. 3 RDV). Deshalb sei das Gesuch abzuweisen.</w:t>
      </w:r>
    </w:p>
    <w:p>
      <w:r>
        <w:rPr>
          <w:b/>
        </w:rPr>
        <w:t>E. 3.1</w:t>
      </w:r>
    </w:p>
    <w:p>
      <w:r>
        <w:t>Es ist unbestritten, dass die Beschwerdeführerin die Voraussetzungen von Art. 5 Abs. 2 Bst. a RDV nicht erfüllt (zum Kreis der Familienangehörigen vgl. das Urteil des Bundesverwaltungsgerichts C-1091/2006 vom 22. März 2007 S. 5 in fine). Hingegen macht sie geltend, Art. 5 Abs. 2 Bst. b RDV sei anwendbar: Die Reise sei für sie aufgrund der drohenden Verschlechterung ihres Gesundheitszustandes sehr wichtig und angesichts der bewilligten Reise ihres Mannes, welche für April 2007 geplant sei, auch unaufschiebbar. Durch die Reise gemeinsam mit ihrem Mann könnte die Verschlechterung ihres Gesundheitszustandes verhindert werden, weshalb es sich schliesslich auch um eine höchstpersönliche Angelegenheit handle.</w:t>
      </w:r>
    </w:p>
    <w:p>
      <w:r>
        <w:rPr>
          <w:b/>
        </w:rPr>
        <w:t>E. 3.2</w:t>
      </w:r>
    </w:p>
    <w:p>
      <w:r>
        <w:t>Art. 5 Abs. 2 Bst. b RDV setzt entsprechend seinem Wortlaut voraus, dass die gesuchstellende Person im Ausland eine wichtige und unaufschiebbare höchstpersönliche Angelegenheit zu erledigen hat, wobei die genannten Kriterien kumulativ zu verstehen sind. Unter höchstpersönlichen und damit vertretungsfeindlichen, wichtigen und unaufschiebbaren Angelegenheiten sind beispielsweise die Anmeldung eines Rentenanspruchs, der Abschluss eines Erbvertrages, das Ablegen beziehungsweise Abnehmen einer Prüfung oder die Einvernahme als Zeuge zu verstehen. Ihnen allen ist gemeinsam, dass sie zwangsläufig nur im Ausland und ausserdem nur von der gesuchstellenden Person selbst erledigt oder wahrgenommen werden können (vgl. Urteil des Bundesverwaltungsgerichtes C-1093/2006 vom 17. Juli 2007 E. 7). In den Weisungen des BFM zu Einreise, Aufenthalt und Arbeitsmarkt wird in Bezug auf Art. 5 Abs. 2 Bst. b RDV als weiterer Grund für die Ausstellung von Reisedokumenten die Teilnahme an Wahlen genannt. Dagegen würden Berufsreisen grundsätzlich nicht unter die gesetzlich vorgesehenen Abgabegründe fallen, unter Ausnahme allerdings von "Einzelfällen mit Härtefallcharakter", wo die Ausstellung eines Reisedokumentes im Zusammenhang mit der Ausübung einer beruflichen Tätigkeit "denkbar" sei (vgl. www.bfm.admin.ch &gt; Themen &gt; rechtliche Grundlagen &gt; Weisungen und Kreisschreiben &gt; Weisungen und Erläuterungen: Einreise, Aufenthalt und Arbeitsmarkt, S. 251 ff., Ziff. 33, Stand Mai 2006). Auch wenn die Aufzählung der Abgabegründe im Rahmen der Auslegung unbestimmter Rechtsbegriffe, wie sie Art. 5 Abs. 2 Bst. b RDV enthält, nur eine beispielhafte ist, wird doch deutlich, dass die Voraussetzungen immer an eine Tätigkeit bzw. an die Erledigung einer Angelegenheit im Ausland anknüpfen, welche die gesuchstellende Person direkt betrifft und zwingenden Anlass gibt, dorthin zu reisen. Einen derartigen Grund vermag die Beschwerdeführerin nicht zu nennen. Sie räumt in ihrer Rechtsmitteleingabe denn auch ein, ihr Reisegrund werde vom Regelungsgehalt vom Art. 5 Abs. 2 Bst. b RDV nicht erfasst. Zweck des von ihr beantragten Reisepapiers ist nicht, einen bestimmten Ort im Ausland erreichen zu können, sondern das Zusammensein mit ihrem Mann. In diesem Zusammenhang macht sie geltend, eine - auch nur vorübergehende - Trennung, verursacht durch die Verweigerung des Reisedokuments, habe eine gesundheitliche Beeinträchtigung zur Folge. Im Sinne einer Interessenabwägung gehe das sich aus Art. 10 Abs. 2 BV ergebende Recht auf körperliche und geistige Unversehrtheit dem öffentlichen Interesse an einer Verweigerung des Reisedokumentes vor.</w:t>
      </w:r>
    </w:p>
    <w:p>
      <w:r>
        <w:rPr>
          <w:b/>
        </w:rPr>
        <w:t>E. 3.3</w:t>
      </w:r>
    </w:p>
    <w:p>
      <w:r>
        <w:t>Wie die Vorinstanz in ihrer Vernehmlassung zurecht ausführte, dient die Bestimmung von Art. 5 Abs. 2 Bst. b RDV nicht als Auffangtatbestand für alle Fälle, welche die Voraussetzungen von Art. 5 Abs. 2 Bst. a oder c RDV nicht erfüllen (vgl. Urteil des Bundesverwaltungsgerichts C-1098/ 2006 vom 14. Juni 2007 E. 3.2). Ob Buchstabe b von Art. 5 Abs. 2 RDV allenfalls dann herangezogen werden könnte, wenn ein eigentliches Abhängigkeitsverhältnis zu einer Person besteht, welche die Voraussetzungen für die Abgabe eines Reisedokumentes erfüllt (zu denken ist an die Situation eines Kleinkindes, das auch nicht vorübergehend von einer Drittperson betreut werden kann), und insofern Raum bestünde, auf die Rüge der Verletzung des Rechts auf körperliche und geistige Unversehrtheit im Sinne von Art. 10 Abs. 2 BV näher einzugehen, kann offen bleiben. Wie nachfolgend zu zeigen ist, erleidet die Beschwerdeführerin nämlich durch den Umstand, dass sie ihren Ehemann nicht nach Saudi-Arabien begleiten kann, keine relevante Beeinträchtigung ihrer körperlichen und geistigen Unversehrtheit.</w:t>
      </w:r>
    </w:p>
    <w:p>
      <w:r>
        <w:rPr>
          <w:b/>
        </w:rPr>
        <w:t>E. 4</w:t>
      </w:r>
    </w:p>
    <w:p>
      <w:r>
        <w:t>Gemäss den eingereichten Arztzeugnissen ist die Beschwerdeführerin seit 2005 wegen Panikattacken, Angst und Depressionen regelmässig in ärztlicher Behandlung. Laut dem undatierten ärztlichen Zeugnis von Dr. C._______ ist sie "nicht im Stande, längere Zeit ohne Betreuungspersonen auszukommen." Auch das Zeugnis von Dr. B._______ vom 26. Februar 2007 hält fest, die Beschwerdeführerin könne "nicht für Wochen alleine bleiben." Eine Begleitung ihres Ehemannes wäre daher sinnvoll. Das aktualisierte Zeugnis vom 10. April 2007 spricht präzisierend von einer ängstlichen, abhängigen Persönlichkeitsstruktur (ICD-10 [International Classification of Deceases]: F60.6 und F60.7). Zur Behandlung der auftretenden Angstzustände und Depressionen erhält die Beschwerdeführerin Antidepressiva (Citalopram ecosol und Temesta). Weiter wird ausgeführt, dass sie bei spontan auftretenden Anfällen, die meistens nur wenige Minuten dauerten, ihren behandelnden Arzt oder ihren Ehemann, der in der Privatwirtschaft arbeite, aufsuche. Aus den vorliegenden medizinischen Zeugnissen kann zwar geschlossen werden, dass die Beschwerdeführerin mit psychischen Problemen zu kämpfen hat und medikamentös behandelt wird. Sie bedarf aber offensichtlich keiner dauernden Betreuung und kann sich ihren Alltag selbst gestalten. Es mag durchaus zutreffen, dass ihr der Ehemann - neben dem behandelnden Arzt - eine wichtige Stütze ist. Es ist aber nicht einzusehen, weshalb die erforderliche Betreuung nicht anderweitig sicher gestellt werden könnte. Selbst wenn der Ehemann, wie behauptet, ihre einzige Bezugsperson sein sollte, kann ihr zugemutet werden, dass sie sich an andere (Fach-)Personen oder Institutionen wendet, soweit sie - um die Zeit der Abwesenheit ihres Ehemannes zu überbrücken - auf Unterstützung angewiesen ist. In Zürich wohnhaft, hat sie zweifelsohne die Möglichkeit, Kontakte zu Landsleuten zu pflegen; zudem spricht sie fliessend französisch. Dazu kommt, dass von ihrem Ehemann erwartet werden kann, dass er bei der Planung seiner Reise - hinsichtlich Zeitpunkt und Dauer - auf den Gesundheitszustand seiner Partnerin Rücksicht nimmt. Der Zweck der Reise (Besuch des kranken Vaters in Saudi-Arabien) erfordert jedenfalls keine Abwesenheit während Wochen bzw. längerer Zeit, wie die ärztlichen Zeugnisse offenbar annehmen. Damit ist davon auszugehen, dass - bei sorgfältiger Planung - die vorübergehende Trennung der Beschwerdeführerin von ihrem Ehemann keine gravierenden Auswirkungen bzw. keine übermässige Beeinträchtigung zur Folge hat. Auch wenn "verschiedene Hoheitsakte, die sich durchaus auf die persönliche Lebensgestaltung auswirken, [...] den Einzelnen zwar subjektiv stören oder sein subjektives Wohlbefinden beeinträchtigen [mögen], genügen [diese] von ihrer Wirkungsintensität her aber nicht, um unter den Schutzbereich der persönlichen Freiheit gefasst zu werden. Die Garantie schützt folglich nicht vor jeglichem physischen oder psychischen Missbehagen." (Regula Kiener/Walter Kälin, Grundrechte, Bern 2007, S. 128, mit Hinweisen). Gleiches gilt für das Recht auf körperliche und geistige Unversehrtheit als Teilbereich des Rechts auf persönliche Freiheit gemäss Art. 10 Abs. 2 BV.</w:t>
      </w:r>
    </w:p>
    <w:p>
      <w:r>
        <w:rPr>
          <w:b/>
        </w:rPr>
        <w:t>E. 5</w:t>
      </w:r>
    </w:p>
    <w:p>
      <w:r>
        <w:t>Zusammenfassend ist festzustellen, dass die Vorinstanz die Ausstellung eines Identitätsausweises mit Rückeisevisum zurecht verweigert hat. Die angefochtene Verfügung erweist sich damit als rechtmässig (Art. 49 VwVG). Die Beschwerde ist daher abzuweisen.</w:t>
      </w:r>
    </w:p>
    <w:p>
      <w:r>
        <w:rPr>
          <w:b/>
        </w:rPr>
        <w:t>E. 6</w:t>
      </w:r>
    </w:p>
    <w:p>
      <w:r>
        <w:t>In Anwendung von Art. 63 Abs. 1 in fine VwVG in Verbindung mit Art. 6 Bst. b des Regelements über die Kosten und Entschädigungen vor dem Bundesverwaltungsgericht vom 11. Dezember 2006 (VGKE, SR 173.320.2) ist auf die Auferlegung von Verfahrenskosten zu verzichten. Damit ist das Gesuch um unentgeltliche Rechtspflege (Art. 65 Abs. 1 VwVG) gegenstandslos.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