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C-1568/2020 vom 3. August 2021</w:t>
      </w:r>
    </w:p>
    <w:p>
      <w:r>
        <w:t>Bundesverwaltungsgericht, 2021-08-03, DE</w:t>
      </w:r>
    </w:p>
    <w:p>
      <w:r>
        <w:rPr>
          <w:b/>
        </w:rPr>
        <w:t xml:space="preserve">Quelle: </w:t>
      </w:r>
      <w:r>
        <w:t>https://mcp.opencaselaw.ch/entscheid/bvger_C-1568_2020</w:t>
      </w:r>
    </w:p>
    <w:p>
      <w:r>
        <w:t>FR: TAF C-1568/2020 du 3 août 2021</w:t>
      </w:r>
    </w:p>
    <w:p>
      <w:r>
        <w:t>IT: TAF C-1568/2020 del 3 agosto 2021</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1.2</w:t>
      </w:r>
    </w:p>
    <w:p>
      <w:r>
        <w:t>Gemäss Art. 31 des Bundesgesetzes vom 17. Juni 2005 über das Bundesverwaltungsgericht (VGG, SR 173.32) in Verbindung mit Art. 33 Bst. d VGG und Art. 69 Abs. 1 Bst. b des Bundesgesetzes vom 19. Juni 1959 über die Invalidenversicherung (IVG, SR 831.20) ist das Bundesverwaltungsgericht zur Beurteilung der vorliegenden Beschwerde zuständig.</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w:t>
      </w:r>
    </w:p>
    <w:p>
      <w:r>
        <w:rPr>
          <w:b/>
        </w:rPr>
        <w:t>E. 1.4</w:t>
      </w:r>
    </w:p>
    <w:p>
      <w:r>
        <w:t>Als direkter Adressat ist der Beschwerdeführer von der angefochtenen Verfügung vom 17. Februar 2020 (act. BVGer 1, Beilage 1) berührt und kann sich auf ein schutzwürdiges Interesse an deren Aufhebung oder Änderung berufen (Art. 59 ATSG; Art. 48 Abs. 1 VwVG). Auf die frist- und formgerecht eingereichte Beschwerde (Art. 60 ATSG; Art. 50 Abs. 1 und Art. 52 Abs. 1 VwVG) ist, nachdem auch der Kostenvorschuss rechtzeitig geleistet wurde (act. BVGer 7; 12), einzutreten.</w:t>
      </w:r>
    </w:p>
    <w:p>
      <w:r>
        <w:rPr>
          <w:b/>
        </w:rPr>
        <w:t>E. 2.1</w:t>
      </w:r>
    </w:p>
    <w:p>
      <w:r>
        <w:t>Der Beschwerdeführer ist spanischer Staatsangehöriger und wohnt in Spanien (act. IVSTA 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(AS 2015 343), Nr. 465/2012 (AS 2015 345) und Nr. 1224/2012 (AS 2015 353)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17. Februar 2020 in Kraft standen.</w:t>
      </w:r>
    </w:p>
    <w:p>
      <w:r>
        <w:rPr>
          <w:b/>
        </w:rPr>
        <w:t>E. 2.3</w:t>
      </w:r>
    </w:p>
    <w:p>
      <w:r>
        <w:t>Das Sozialversicherungsgericht stellt bei der Beurteilung einer Streitsache in der Regel auf den bis zum Zeitpunkt des Erlasses der streitigen Verwaltungsverfügung (hier: 17. Februar 2020) eingetretenen Sachverhalt ab (BGE 132 V 215 E. 3.1.1). Tatsachen, die jenen Sachverhalt seither verändert haben, sollen im Normalfall Gegenstand einer neuen Verwaltungsverfügung sein (BGE 121 V 362 E. 1b).</w:t>
      </w:r>
    </w:p>
    <w:p>
      <w:r>
        <w:rPr>
          <w:b/>
        </w:rPr>
        <w:t>E. 2.4</w:t>
      </w:r>
    </w:p>
    <w:p>
      <w:r>
        <w:t>Die im vorliegenden Beschwerdeverfahren eingegangenen medizinischen Unterlagen datieren teilweise erst nach dem massgebenden Stichtag (act. BVGer 10, Beilagen; act. BVGer 16, Beilage). Soweit sie den Gesundheitszustand des Beschwerdeführers bis zum vorliegend massgebenden Zeitpunkt der angefochtenen Verfügung umschreiben beziehungsweise mit dem vorliegenden Streitgegenstand in einem engen Sachzusammenhang stehen, können sie nachfolgend berücksichtigt werden.</w:t>
      </w:r>
    </w:p>
    <w:p>
      <w:r>
        <w:rPr>
          <w:b/>
        </w:rPr>
        <w:t>E. 3.1</w:t>
      </w:r>
    </w:p>
    <w:p>
      <w:r>
        <w:t>Anfechtungsobjekt und damit Begrenzung des Streitgegenstandes des vorliegenden Beschwerdeverfahrens (vgl. BGE 131 V 164 E. 2.1) bildet die Verfügung der IVSTA vom 17. Februar 2020, mit der die Vorinstanz das Leistungsbegehren des Beschwerdeführers abgewiesen hat. Grundsätzlich streitig und vom Bundesverwaltungsgericht zu prüfen ist der Anspruch des Beschwerdeführers auf eine schweizerische Invalidenrente. Da die Vorinstanz nunmehr selbst die Rückweisung an sie beantragt, wie das der Beschwerdeführer zunächst in der Beschwerde eventualiter geltend machte und nun mit Replik zu seinem Hauptantrag macht, ist zu prüfen, ob die Sache zu weiteren Abklärungen an die Vorinstanz zurückzuweisen ist.</w:t>
      </w:r>
    </w:p>
    <w:p>
      <w:r>
        <w:rPr>
          <w:b/>
        </w:rPr>
        <w:t>E. 3.2</w:t>
      </w:r>
    </w:p>
    <w:p>
      <w:r>
        <w:t>Vorab ist anzumerken, dass die Rentenberechtigung des Beschwerdeführers in Spanien vorliegend nicht massgeblich ist, nachdem die Gewährung von Leistungen durch ein ausländisches Versicherungsorgan nicht die invalidenversicherungsrechtliche Beurteilung nach schweizerischem Recht präjudiziert (Urteil des EVG [heute: BGer] I 435/02 vom 4. Februar 2003 E. 2; BGE 130 V 253 E. 2.4; vgl. oben E. 2.1).</w:t>
      </w:r>
    </w:p>
    <w:p>
      <w:r>
        <w:rPr>
          <w:b/>
        </w:rPr>
        <w:t>E. 4.1</w:t>
      </w:r>
    </w:p>
    <w:p>
      <w:r>
        <w:t>Anspruch auf eine ordentliche Rente der schweizerischen Invalidenversicherung haben Versicherte, die bei Eintritt der Invalidität während mindestens drei Jahren Beiträge geleistet haben (Art. 36 Abs. 1 IVG). Für die Erfüllung der dreijährigen Mindestbeitragsdauer können Beitragszeiten mitberücksichtigt werden, die in einem EU/EFTA-Staat zurückgelegt worden sind, wobei die Beitragszeit in der Schweiz aber mindestens ein Jahr betragen muss (Art. 6 und Art. 45 VO [EG] 883/2004; vgl. Rz. 3005 des Kreisschreibens über das Verfahren zur Leistungsfestsetzung in der AHV/IV/EL [KSBIL, gültig ab 4. April 2016, Stand: 1. Januar 2018]; BGE 131 V 390). Der Beschwerdeführer hat während mehr als drei Jahren Beiträge in diesem Sinne geleistet (act. IVSTA 2; act. BVGer 26), sodass die Anspruchsvoraussetzung der Mindestbeitragsdauer erfüllt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132 V 93 E. 4; 125 V 256 E. 4).</w:t>
      </w:r>
    </w:p>
    <w:p>
      <w:r>
        <w:rPr>
          <w:b/>
        </w:rPr>
        <w:t>E. 5.2</w:t>
      </w:r>
    </w:p>
    <w:p>
      <w:r>
        <w:t>Im Beschwerdeverfahren vor dem Bundesverwaltungsgericht gilt der Grundsatz der freien Beweiswürdigung (Art. 40 des Bundesgesetzes vom 4. Dezember 1947 über den Bundeszivilprozess [BZP, SR 273] i.V.m. Art. 19 VwVG). Dies bedeutet, dass der Sozialversicherungsrichter alle Beweismittel objektiv zu prüfen und danach zu entscheiden hat, ob die verfügbaren Unterlagen eine zuverlässige Beurteilung des streitigen Rechtsanspruchs gestatten. Der Beweiswert eines ärztlichen Berichts hängt davon ab,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5.3</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5.4</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(Urteile des BGer 8C_756/2008 vom 4. Juni 2009 E. 4.4 mit Hinweis;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5.5</w:t>
      </w:r>
    </w:p>
    <w:p>
      <w:r>
        <w:t>Berichte der behandelnden Ärzte sind aufgrund deren auftragsrechtlicher Vertrauensstellung zum Patienten mit Vorbehalt zu würdigen (BGE 125 V 351 E. 3b/cc). Dies gilt für den allgemein praktizierenden Hausarzt wie auch für den behandelnden Spezialarzt (Urteil des EVG I 655/05 vom 20. März 2006 E. 5.4 mit Hinweisen; vgl. aber das Urteil des BGer 9C_24/2008 vom 27. Mai 2008 E. 2.3.2).</w:t>
      </w:r>
    </w:p>
    <w:p>
      <w:r>
        <w:rPr>
          <w:b/>
        </w:rPr>
        <w:t>E. 5.6</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5.7</w:t>
      </w:r>
    </w:p>
    <w:p>
      <w:r>
        <w:t>Im Sozialversicherungsrecht und somit auch im Bereich der IV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BGE 122 V 157 E. 1d; 122 II 464 E. 4a; 120 Ib 224 E. 2b).</w:t>
      </w:r>
    </w:p>
    <w:p>
      <w:r>
        <w:rPr>
          <w:b/>
        </w:rPr>
        <w:t>E. 6.1</w:t>
      </w:r>
    </w:p>
    <w:p>
      <w:r>
        <w:t>Vorliegend stützte sich die Vorinstanz im Rahmen des Erlasses der angefochtenen Verfügung vom 17. Februar 2020 insbesondere auf die ärztliche Stellungnahme von Dr. D._______ vom 15. Oktober 2019 (act. IVSTA 30; vgl. oben Bst. B.e), die einen medizinischen Bericht im Sinne von Art. 59 Abs. 2bis IVG und 49 Abs. 1 und 3 IVV darstellt (vgl. oben E. 5.4).</w:t>
      </w:r>
    </w:p>
    <w:p>
      <w:r>
        <w:rPr>
          <w:b/>
        </w:rPr>
        <w:t>E. 6.2</w:t>
      </w:r>
    </w:p>
    <w:p>
      <w:r>
        <w:t>Somit ist zu prüfen, ob dieser Stellungnahme Beweiswert zukommt oder ob sie mangelhaft ist, wie beide Parteien im Beschwerdeverfahren geltend machen (act. BVGer 1; 10; 16; 19; 21).</w:t>
      </w:r>
    </w:p>
    <w:p>
      <w:r>
        <w:rPr>
          <w:b/>
        </w:rPr>
        <w:t>E. 6.3</w:t>
      </w:r>
    </w:p>
    <w:p>
      <w:r>
        <w:t>Aufgrund der vorliegenden Akten bestehen - entsprechend der übereinstimmenden Ansicht der Parteien - stichhaltige Gründe gegen den Beweiswert der besagten Stellungnahme.</w:t>
      </w:r>
    </w:p>
    <w:p>
      <w:r>
        <w:rPr>
          <w:b/>
        </w:rPr>
        <w:t>E. 6.3.1</w:t>
      </w:r>
    </w:p>
    <w:p>
      <w:r>
        <w:t>Erstens wurde der RAD-Bericht vom 15. Oktober 2019 nicht in Kenntnis der gesamten Vorakten (Anamnese) abgegeben. In der Tat fehlen im Dossier der Vorinstanz insbesondere die ersten vier Seiten der Liste der HNO-Konsultationen des Versicherten beim E._______ (act. IVSTA 25), die zweite Seite des medizinischen Berichts des E._______ vom 19. April 2018 (act. IVSTA 13), ein medizinischer Bericht vom 26. Juni 2018, auf den sich Dr. J._______ in ihrem Arztbericht vom 14. September 2018 bezieht (vgl. act. IVSTA 16) sowie der medizinische Bericht von Dr. C._______ vom 21. Januar 2019, auf den sich diese im Bericht E 213 vom 17. April 2019 bezieht (vgl. act. IVSTA 3).</w:t>
      </w:r>
    </w:p>
    <w:p>
      <w:r>
        <w:rPr>
          <w:b/>
        </w:rPr>
        <w:t>E. 6.3.2</w:t>
      </w:r>
    </w:p>
    <w:p>
      <w:r>
        <w:t>Zweitens steht der medizinische Sachverhalt nicht fest, da sich in den Akten der Vorinstanz uneinheitliche Angaben zum Beginn, zum Verlauf und zur Höhe der Arbeitsunfähigkeit des Beschwerdeführers befinden. So bescheinigte die INSS-Ärztin Dr. C._______ dem Beschwerdeführer eine ununterbrochene 100%-ige Arbeitsunfähigkeit in jeglicher Tätigkeit seit dem 5. Februar 2019 (act. IVSTA 3 S. 10), während im Formular E 204 als Tag des Beginns der Arbeitsunfähigkeit der 3. Februar 2018 angegeben wurde (act. IVSTA 1 S. 2 Ziff. 7.2). Sodann enthalten die Akten der Vorinstanz keine weiteren Angaben der spanischen Ärzte zum Beginn, zum Verlauf oder zur Höhe der Arbeitsunfähigkeit des Versicherten (vgl. act. IVSTA 12 bis 19; 25 bis 27). Dr. D._______ hat den Beginn der 100%-igen Arbeitsunfähigkeit des Beschwerdeführers in jeglicher Tätigkeit kommentarlos auf den 10. Mai 2018 festgesetzt und angegeben, dass dieser seit dem 15. März 2019 in einer leidensadaptierten Tätigkeit wieder zu 100% arbeitsfähig sei (act. IVSTA 30). Dieses Vorgehen ist unzulässig, da der RAD-Arzt beim Verfassen eines medizinischen Berichts im Sinne von Art. 59 Abs. 2bis IVG und 49 Abs. 1 und 3 IVV (vgl. oben E. 5.4) lediglich die Aufgabe hatte, bei unklarer Aktenlage zusätzliche Abklärungen vorzunehmen und nach erfolgter Nachinstruktion den sich aus den ärztlichen Unterlagen ergebenden medizinischen Sachverhalt zusammenzufassen und zu würdigen. Jedoch war er nicht befugt, von Dr. C._______s Einschätzungen abzuweichen und den Beginn, den Verlauf sowie die Höhe der Arbeitsunfähigkeit des Versicherten einzig auf der Grundlage seiner medizinischen Erfahrung festzulegen.</w:t>
      </w:r>
    </w:p>
    <w:p>
      <w:r>
        <w:rPr>
          <w:b/>
        </w:rPr>
        <w:t>E. 6.3.3</w:t>
      </w:r>
    </w:p>
    <w:p>
      <w:r>
        <w:t>Drittens ist aufgrund der vorliegenden Aktenlage nicht mit überwiegender Wahrscheinlichkeit erstellt, dass der Beschwerdeführer nicht bereits zum Zeitpunkt des Verfügungserlasses an einer Lungenmetastase litt, die am 30. April 2020 mittels medialer Lobektomie mit Bronchoplastik und Lymphadenektomie behandelt wurde (vgl. act. BVGer 10, Beilagen 1 und 2; act. BVGer 19) und die bereits am 17. Februar 2020 einen relevanten Einfluss auf seine Arbeitsfähigkeit gehabt haben könnte (vgl. act. BVGer 10, Beilage 1). In der Tat äusserte Dr. F._______ anlässlich eines CT-Scans des Thorax bereits am 20. August 2019 den Verdacht auf einen Lungenknoten, der beim vorhergehenden CT-Scan des Thorax im Jahr 2014 nicht vorhanden gewesen sei und empfahl, weitere ärztliche Untersuchungen der Lunge vorzunehmen (act. IVSTA 26). Dieser Verdacht und die Notwendigkeit weiterer Abklärungen wurden vom E._______-Arzt Dr. K._______ am 6. September 2019 wiederholt (act. IVSTA 25). Trotz dieser Hinweise auf eine zwischenzeitliche Verschlechterung des Gesundheitszustandes hat die IVSTA keine ergänzenden medizinischen Abklärungen getroffen.</w:t>
      </w:r>
    </w:p>
    <w:p>
      <w:r>
        <w:rPr>
          <w:b/>
        </w:rPr>
        <w:t>E. 6.3.4</w:t>
      </w:r>
    </w:p>
    <w:p>
      <w:r>
        <w:t>Schliesslich bestehen ebenfalls berechtigte Zweifel, ob der Versicherte zum Zeitpunkt des Verfügungserlasses an einer oder mehreren psychischen Beeinträchtigungen litt, die einen relevanten Einfluss auf seine Arbeitsfähigkeit haben könnten. In einem medizinischen Bericht vom 10. Juni 2020 (act. BVGer 10, Beilage 1), erklärte Dr. H._______, Facharzt für Allgemeinmedizin, er habe beim Versicherten nebst den somatischen Beschwerden auch wesentliche psychische Probleme festgestellt (psychischer Schockzustand, schwere Asthenie, körperlicher Zusammenbruch, schwere Aufmerksamkeits- und Konzentrationsdefizite, Traurigkeit, emotionale Labilität, Weinen, Hoffnungslosigkeit und gedrückte Stimmung mit schweren Einschränkungen der Kommunikation sowie der familiären und sozialen Interaktion [act. BVGer 10, Beilage 1 S. 5]), die mittels Psychopharmaka behandelt und die die Arbeitsfähigkeit des Versicherten in jeglicher Tätigkeit erheblich einschränken würden. Auch wenn Dr. H._______ über keinen Facharzttitel für Psychiatrie verfügt, sein Bericht nach dem Verfügungszeitpunkt datiert, er keine Angaben über den Beginn der psychischen Beeinträchtigungen gemacht, keine psychiatrische Diagnose nach einem anerkannten Klassifikationssystem gestellt und die Invalidität nicht nach den Anforderungen der Rechtsprechung geprüft hat (vgl. oben E. 5.6) und seiner medizinischen Stellungnahme deswegen nur ein herabgesetzter Beweiswert zukommt, reicht diese aus, um Zweifel am möglichen Vorliegen einer oder mehrerer invalidisierender psychischer Beeinträchtigungen zu wecken, die bereits am 17. Februar 2020 bestanden.</w:t>
      </w:r>
    </w:p>
    <w:p>
      <w:r>
        <w:rPr>
          <w:b/>
        </w:rPr>
        <w:t>E. 7</w:t>
      </w:r>
    </w:p>
    <w:p>
      <w:r>
        <w:t>Zusammenfassend ist damit festzuhalten, dass sich bei der vorliegenden Aktenlage der gesundheitliche Zustand des Beschwerdeführers und dessen Auswirkungen auf die Arbeits- und Leistungsfähigkeit sowohl in der zuletzt ausgeübten Tätigkeit als LKW-Fahrer als auch in leidensadaptierten Verweisungstätigkeiten nicht schlüssig und zuverlässig beurteilen lässt. Die Stellungnahme von Dr. D._______ vom 15. Oktober 2019 sowie weitere aktenkundige medizinische Berichte vermögen keine aktuellen und abschliessenden Beurteilungsgrundlagen zu bilden, sondern geben Anlass zu weitergehenden Abklärungen.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medizinischen Abklärung in der Schweiz ist - obwohl retrospektive Beurteilungen der Arbeits- und Leistungsunfähigkeit schwierig sind und entsprechende Begutachtungen deshalb erhöhten Ansprüchen genügen müssen (vgl. hierzu Urteil des BVGer C-1421/2013 vom 29. September 2014 E. 3.4.2 mit Hinweis) - unter den gegebenen Umständen notwendig und möglich, zumal eine Verlagerung der Expertentätigkeit von der administrativen auf die gerichtliche Ebene sachlich nicht wünschbar ist (vgl. BGE 137 V 210 E. 4.2). Mit Blick auf die beim Beschwerdeführer vorhandenen Beschwerden ist die neue umfassende medizinische Begutachtung interdisziplinär in der Schweiz durchzuführen (Urteil des BGer 8C_189/2008 vom 4. Juli 2008 E. 5 mit Hinweis auf 8C_321/2007 vom 6. Mai 2008, E. 6.3), wobei die Gutachtensstelle nebst den Fachdisziplinen Onkologie, Orthopädie und Psychiatrie (letztere unter Berücksichtigung der Standardindikatoren gemäss bundesgerichtlicher Rechtsprechung, BGE 143 V 418; 143 V 409; 141 V 281) allfällige weitere Disziplinen selber zu bestimmen hat (vgl. hierzu BGE 139 V 349 E. 3.3). Im Rahmen dieser notwendigen medizinischen Begutachtung - welche bei einer Gutachterstelle nach dem Zufallsprinzip zu erfolgen hat (vgl. hierzu BGE 140 V 507 E. 3.1 und E. 3.2.1) und mit welcher das Bundesamt für Sozialversicherungen eine Vereinbarung getroffen hat (vgl. hierzu Art. 59 Abs. 3 IVG i.V.m. Art. 72bis Abs. 1 und 2 IVV; BGE 139 V 349 E. 2.2) - sind die fehlenden Arztberichte einzuholen (vgl. oben E. 6.3.1). Sodann sind sämtliche bisher verfassten ärztlichen Berichte - auch diejenigen, die im vorliegenden Beschwerdeverfahren mit Blick auf den Verfügungszeitpunkt vom 17. Februar 2020 unberücksichtigt zu bleiben haben (vgl. hierzu BGE 130 V 138 E. 2.1) - von den Expertinnen und/oder Experten zu würdigen. Diese haben sich ebenfalls rechtsgenüglich zu den vorliegenden Diagnosen sowie zum Beginn und zum Umfang der Arbeits- und Leistungsfähigkeit des Beschwerdeführers in der angestammten Tätigkeit als LKW-Fahrer und in leidensangepassten Verweisungstätigkeiten zu äussern. Schliesslich besteht kein Hinweis auf eine Reiseunfähigkeit, da sich der Beschwerdeführer selber mit einer eventuellen Begutachtung in der Schweiz einverstanden erklärte (act. BVGer 19 S. 4).</w:t>
      </w:r>
    </w:p>
    <w:p>
      <w:r>
        <w:rPr>
          <w:b/>
        </w:rPr>
        <w:t>E. 8</w:t>
      </w:r>
    </w:p>
    <w:p>
      <w:r>
        <w:t>Nach dem Gesagten ist die Beschwerde insoweit gutzuheissen, als die Verfügung vom 17. Februar 2020 aufgehoben und die Sache an die Vorinstanz zurückgewiesen wird, damit diese nach erfolgter Abklärung im Sinne der Erwägungen über den Anspruch des Beschwerdeführers auf eine Rente der schweizerischen Invalidenversicherung neu verfüge.</w:t>
      </w:r>
    </w:p>
    <w:p>
      <w:r>
        <w:rPr>
          <w:b/>
        </w:rPr>
        <w:t>E. 9.1</w:t>
      </w:r>
    </w:p>
    <w:p>
      <w:r>
        <w:t>Zu befinden bleibt über die Verfahrenskosten und eine allfällige Parteientschädigung.</w:t>
      </w:r>
    </w:p>
    <w:p>
      <w:r>
        <w:rPr>
          <w:b/>
        </w:rPr>
        <w:t>E. 9.2</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Der von ihm geleistete Kostenvorschuss von Fr. 815.- (act. BVGer 7; 12) ist ihm nach Eintritt der Rechtskraft des vorliegenden Urteils zurückzuerstatten. Der Vorinstanz werden ebenfalls keine Verfahrenskosten auferlegt (Art. 63 Abs. 2 VwVG).</w:t>
      </w:r>
    </w:p>
    <w:p>
      <w:r>
        <w:rPr>
          <w:b/>
        </w:rPr>
        <w:t>E. 9.3</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