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C-1568/2012 vom 9. Dezember 2013</w:t>
      </w:r>
    </w:p>
    <w:p>
      <w:r>
        <w:t>Bundesverwaltungsgericht, 2013-12-09, FR</w:t>
      </w:r>
    </w:p>
    <w:p>
      <w:r>
        <w:rPr>
          <w:b/>
        </w:rPr>
        <w:t xml:space="preserve">Quelle: </w:t>
      </w:r>
      <w:r>
        <w:t>https://mcp.opencaselaw.ch/entscheid/bvger_C-1568_2012</w:t>
      </w:r>
    </w:p>
    <w:p>
      <w:r>
        <w:t>FR: TAF C-1568/2012 du 9 décembre 2013</w:t>
      </w:r>
    </w:p>
    <w:p>
      <w:r>
        <w:t>IT: TAF C-1568/2012 del 9 dicembre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[OASA,RS 142.201]). Selon l'art. 126 al. 1 LEtr, les demandes déposées avant l'entrée en vi­gueur de la nouvelle loi sont régies par l'ancien droit. Dans le cas particulier, la procédure d'autorisation d'entrée et d'approba­tion à l'octroi d'autorisations de séjour a été initiée par les demandes que les enfants du recourant, B._______, C._______ et D._______, ont déposées, le 7 avril 2009, auprès de la Représentation de Suisse au Kosovo, soit postérieurement à l'entrée en vigueur de la LEtr. C'est ainsi le nouveau droit qui est applicable à la présente cause (art. 126 al. 1 LEtr a contrario [cf. notamment les arrêts du Tribunal fédéral 2C_395/2012 du 9 juillet 2012 consid. 1 a contrario et 2C_547/2010 du 10 décembre 2010consid. 1]). Conformément à l'art. 126 al. 2 LEtr, la procédure est régie par le nou­veau droit.</w:t>
      </w:r>
    </w:p>
    <w:p>
      <w:r>
        <w:rPr>
          <w:b/>
        </w:rPr>
        <w:t>E. 1.3</w:t>
      </w:r>
    </w:p>
    <w:p>
      <w:r>
        <w:t>A moins que la LTAF n'en dispose autrement, la procédure devant le Tribunal est régie par la PA (cf. art. 37 LTAF).</w:t>
      </w:r>
    </w:p>
    <w:p>
      <w:r>
        <w:rPr>
          <w:b/>
        </w:rPr>
        <w:t>E. 1.4</w:t>
      </w:r>
    </w:p>
    <w:p>
      <w:r>
        <w:t>X._______, en tant qu'il manifeste le souhait d'accueillir en Suisse ses enfants B._______, C._______ et D._______, a qualité pour recourir (cf. art. 48al.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Michael Beusch et Lorenz Kneubühler, Prozessieren vor dem Bundes­verwaltungsgericht, Handbücher für die Anwaltspraxis, Tome X, Bâle 2013, pp. 226/227, ad ch. 3.197; Pierre Moor / Etienne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Dans son arrêt, elle prend en considération l'état de fait régnant au moment où elle statue (cf.ATAF 2012/21 consid. 5.1, 2011/43 consid. 6.1, 2011/1 consid. 2 et juris­prudence citée).</w:t>
      </w:r>
    </w:p>
    <w:p>
      <w:r>
        <w:rPr>
          <w:b/>
        </w:rPr>
        <w:t>E. 3</w:t>
      </w:r>
    </w:p>
    <w:p>
      <w:r>
        <w:t>La compétence décisionnelle dans le cadre de la présente cause appar­tient à la Confédération, et plus particulièrement à l'ODM (cf. art. 40 al. 1 et 99 phr. 1 LEtr, en relation avec les art. 85 et 86 OASA) et au Tribunal, en vertu de l'effet dévolutif du recours (cf. art. 54 PA [cf. égalementch. 1.3.1.2.3 let. a des Directives et commentaires de l'ODM, en ligne sur son site internet http//www.bfm.admin.ch &gt; Documentation &gt; Bases léga­les &gt; Directives et circulaires &gt; I. Domaine des étrangers &gt; version rema­niée et unifiée du 25 octobre 2013, consulté en octobre 2013). Il s'ensuit que l'ODM et, a fortiori, le Tribunal ne sont pas liés par la décision de l'autorité genevoise compétente en matière de droit des étrangers de déli­vrer aux enfants du recourant, B._______, C._______ et D._______, une auto­risation de séjour fondée sur l'art. 44 LEtr et peuvent donc parfaitement s'écarter de l'appréciation émise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5</w:t>
      </w:r>
    </w:p>
    <w:p>
      <w:r>
        <w:t>En vertu du droit interne, lorsque la demande de regroupement familial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notamment ATF 137 I 284 consid. 1.2 et arrêt du Tribunal fé­déral 2C_555/2012 du 19 novembre 2012 consid. 1.1). Sachant que le re­courant est au bénéfice d'une autorisation de séjour annuelle, c'est donc sous l'angle de l'art. 44 LEtr que doit être envisagé le regroupement fami­lial requis par ses trois enfants, B._______, C._______ et D._______ (cf. notamment arrêt du Tribunal fédéral 2C_555/2012 précité, ibid.).</w:t>
      </w:r>
    </w:p>
    <w:p>
      <w:r>
        <w:rPr>
          <w:b/>
        </w:rPr>
        <w:t>E. 6</w:t>
      </w:r>
    </w:p>
    <w:p>
      <w:r>
        <w:t>D'autre part, du moment que X._______ a été formellement autorisé par l'OCP, au mois d'avril 2013, à poursuivre son séjour en Suisse en application de l'art. 50 al. 1 let. a LEtr, les enfants du prénommé, B._______, C._______ et D._______, tous trois âgés de moins de 18 ans, peuvent également se prévaloir de l'art. 8 de la Convention du 4 novembre 1950 de sauve­garde des droits de l'homme et des libertés fondamentales (CEDH,RS 0.101) pour solliciter le regroupement familial avec leur père qui béné­ficie d'une autorisation de séjour durable (cf. notamment arrêt du Tribunal fédéral 2C_993/2011 du 10 juillet 2012 consid. 1, 2 et 3.6, publié àl'ATF 138 II 393 à l'exception du consid. 1) et dont l'effectivité et l'étroi­tesse des liens avec ces derniers n'a pas été contestée par l'ODM dans la décision querellée du 16 février 2012. Comme cela était le cas lors du prononcé de cette décision, le recourant demeure par conséquent en droit, actuellement, de réclamer le regroupement familial selonl'art. 44 LEtr pour ses enfants en se prévalant de l'art. 8 CEDH (et del'art. 13 de la Constitution fédérale de la Confédération suisse du 18 avril 1999 [Cst., RS 101] dont la portée est la même que celle de l'art. 8 CEDH [cf. notamment ATF 137 I 167 consid. 3.2]).</w:t>
      </w:r>
    </w:p>
    <w:p>
      <w:r>
        <w:rPr>
          <w:b/>
        </w:rPr>
        <w:t>E. 7.1</w:t>
      </w:r>
    </w:p>
    <w:p>
      <w:r>
        <w:t>Parmi les conditions posées par la jurisprudence en relation avec les art. 42 et ss. LEtr, l'étranger qui demande le regroupement familial partiel pour son enfant doit être légitimé, sous l'angle du droit civil, à vivre avec son enfant en Suisse (cf. notamment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notammentATF 137 précité, ibid., et arrêt du Tribunal fédéral 2C_553/2011 du 4 no­vembre 2011 consid. 4.4 in fine). Même si cette exigence ne ressort pas des art. 42 al. 1 et 43 LEtr, il s'agit d'une disposition impérative du regrou­pement familial; en effet, le regroupement familial doit être réalisé en conformité avec les règles du droit civil régissant les rapports entre pa­rents et enfants et il appartient aux autorités compétentes en matière de droit des étrangers de s'en assurer (cf. notamment ATF 136 II 78consid. 4.8 et arrêt du Tribunal fédéral 2C_553/2011 précité, consid. 5.3). Une simple déclaration du parent resté à l'étranger autorisant son enfant à rejoindre l'autre parent en Suisse n'est en principe pas suffisante (cf. notamment arrêts du Tribunal fédéral 2C_555/2012 précité, consid. 2.4 in fine, et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lorsque la venue en Suisse de l'enfant revient de facto à priver l'autre parent de toute possibilité de contact avec lui (cf. notammentATF 136 précité, ibid.).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notamment arrêt du Tri­bunal fédéral 2C_132/2011 du 28 juillet 2011 consid. 6.2.1).</w:t>
      </w:r>
    </w:p>
    <w:p>
      <w:r>
        <w:rPr>
          <w:b/>
        </w:rPr>
        <w:t>E. 7.1.1</w:t>
      </w:r>
    </w:p>
    <w:p>
      <w:r>
        <w:t>Dans l'affaire d'espèce, la question de savoir si les enfants sont lé­gitimés, au regard du droit civil, à vivre avec leur père en Suisse n'est pas déterminée de manière claire. Après avoir invité X._______, dans le cadre du droit d'être entendu octroyé avant le prononcé de la décision querellée, à lui faire parvenir un document officiel attestant qu'il disposait de l'autorité parentale sur ses trois enfants, l'ODM a retenu que la pièce fournie par le prénommé lors de ses déterminations du 28 novembre 2011 (à savoir une déclaration écrite de la mère des enfants, datée du 23 novembre 2011, qui indique consentir à ce que ces derniers partent vivre auprès de leur père et dont la signature est certifiée par le Tribunal communal de G._______ comme étant authentique) n'était pas de nature à dé­montrer que le recourant détenait effectivement seul l'autorité parentale sur ses enfants ou conjointement avec la mère des enfants. Partant de ce constat, il a estimé, dans le cadre de sa décision du 16 février 2012, que la condition relative à l'autorité parentale n'était pas remplie en l'espèce. Comme l'a souligné la jurisprudence (cf. consid. 7.1 supra), une simple déclaration du parent restant à l'étranger autorisant son enfant à rejoindre l'autre parent en Suisse n'est en effet pas suffisante à cet égard. Aucun élément d'information ne peut être déduit du document du 23 novembre 2011 quant à la question de savoir qui détient l'autorité parentale ou la garde sur les trois enfants B._______, C._______ et D._______. A cet égard, l'authentification de la signature de l'auteur de la déclaration par une autorité, même judiciaire (en l'occurrence, par le Tribunal communal de G._______), si elle confère à ladite déclaration une officialité permettant d'en dé­duire qu'elle émane bien de la mère des enfants et qu'elle correspond à la volonté de cette dernière, ne saurait, a priori, conférer au document concerné valeur de document officiel attestant que le recourant dispose d'un droit, sous l'angle du droit civil, lui permettant de vivre avec les enfants susnommés (cf., dans ce même ordre d'idée, l'arrêt du Tribunal fédéral 2C_132/2011 précité, consid. 6.2.3).</w:t>
      </w:r>
    </w:p>
    <w:p>
      <w:r>
        <w:rPr>
          <w:b/>
        </w:rPr>
        <w:t>E. 7.1.2</w:t>
      </w:r>
    </w:p>
    <w:p>
      <w:r>
        <w:t>A l'appui de son recours du 21 mars 2012, X._______ a produit une nouvelle déclaration écrite signée, le 19 mars 2012, de la mère des enfants, laquelle indiquait, d'une part que les intéressés étaient alors pla­cés sous la garde et l'entretien d'un oncle, d'autre part qu'elle avait re­noncé à l'autorité parentale sur ces derniers et donnait son accord quant au transfert de l'autorité parentale à leur père domicilié en Suisse. Or, pour les mêmes raisons que celles exposées précédemment, on ne peut davantage déduire de cette déclaration écrite, même si l'authenticité de la signature de la mère des enfants est attestée une fois encore par le Tri­bunal communal de G._______, qu'elle vaudrait à elle seule "autorisation offi­cielle" légitimant, sur le plan du droit civil, le père de ces derniers à vivre avec eux en Suisse (cf., en ce sens, arrêt du Tribunal fédéral 2C_752/2011 précité, consid. 6.2). Les deux déclarations écrites précitées ne paraissent donc pas suffi­santes pour établir que le recourant est habilité à vivre avec ses trois enfants, B._______, C._______ et D._______, en Suisse, en sorte que l'on pourrait en conclure que l'une des conditions cumulatives auxquelles est soumis le regroupement familial n'est pas remplie en l'espèce.</w:t>
      </w:r>
    </w:p>
    <w:p>
      <w:r>
        <w:rPr>
          <w:b/>
        </w:rPr>
        <w:t>E. 7.1.3</w:t>
      </w:r>
    </w:p>
    <w:p>
      <w:r>
        <w:t>La déclaration d'un avocat de G._______ du 19 mars 2012 produite égale­ment à l'appui du recours, selon laquelle "l'art. 139 par. 1 de la loi sur les relations familiales au Kosovo no 20004/32 prévoit que, lorsque les pa­rents vivent séparés, l'autorité parentale est exercée par le parent avec lequel vivent les enfants, toujours en accord avec l'autre parent", pourrait, dans un premier temps, laisser penser que l'autorité parentale serait, dès le moment où les enfants quittent le parent avec lequel ils vivent pour s'installer auprès de l'autre parent et une fois obtenu l'accord du premier parent, de facto transférée au second parent, cas de figure dont se rapprocherait la situation du recourant et de la mère des enfants B._______, C._______ et D._______. Une telle interprétation ne correspond pourtant pas à la pratique habituelle en la matière, en regard de laquelle un transfert de l'autorité parentale implique ordinairement, même dans le cas où les pa­rents ne sont pas unis par les liens du mariage et ne vivent pas ensem­ble, le prononcé d'une décision de justice autorisant officiellement un tel transfert. Cette question, que soulève l'article de loi kosovare cité par le recourant, mérite donc un examen complémentaire, au besoin avec la collaboration de la Représentation de Suisse au Kosovo. Pour ce motif déjà, un renvoi de la cause à l'ODM pourrait se justifier.</w:t>
      </w:r>
    </w:p>
    <w:p>
      <w:r>
        <w:rPr>
          <w:b/>
        </w:rPr>
        <w:t>E. 7.2</w:t>
      </w:r>
    </w:p>
    <w:p>
      <w:r>
        <w:t>Suite au mariage contracté le 22 juin 2013 avec une compatriote, Z._______, mère d'un enfant qu'il a officiellement reconnu, le recou­rant a fondé ainsi une nouvelle famille. De ce fait, il importe encore de dé­terminer, à supposer que l'intéressé puisse être considéré comme habi­lité, sur le plan du droit civil, à vivre avec ses trois enfants B._______, C._______ et D._______ en Suisse, si son actuelle épouse est disposée à accueillir au sein de leur foyer les trois enfants prénommés issus d'une relation anté­rieure et, donc, à s'occuper d'eux, en sus de son propre enfant qui se trouve en bas âge. A cet égard, il importe de relever que l'actuelle épouse de X._______ est censée travailler, à raison de 20 heures par se­maine, pour le compte d'une entreprise de nettoyage (cf. formulaire indivi­duel de demande pour ressortissant hors UE/AELE signé par Z._______ le 10 juillet 2013 et copie de l'autorisation de séjour B [regroupe­ment familial avec activité] émise par le canton de Genève le 18 juillet 2013 en faveur de la prénommée). Or, les autorités doivent vérifier que la garde et l'éducation de l'enfant pour lequel est sollicité le regroupement familial soient assurées lors de sa venue en Suisse (cf. notammentATF 137 précité, ibid., et arrêt du Tribunal fédéral 2C_44/2010 du 26 août 2010 consid. 2.3.2).</w:t>
      </w:r>
    </w:p>
    <w:p>
      <w:r>
        <w:rPr>
          <w:b/>
        </w:rPr>
        <w:t>E. 7.3</w:t>
      </w:r>
    </w:p>
    <w:p>
      <w:r>
        <w:t>Par ailleurs, la question de savoir si le logement occupé par le recou­rant peut, compte tenu du fait qu'il vit désormais en ménage commun avec deux personnes (et non plus avec une personne seulement [ce qui était le cas avec son ancienne épouse, Y._______, lors du prononcé de la décision querellée]), être considéré comme approprié et comporte, donc, suffisamment de pièces pour permettre aux trois enfants de l'inté­ressé, B._______, C._______ et D._______, d'y emménager à leur tour, doit aussi être réexaminée (cf. art. 44 let. b LEtr [voir, en ce sens, notamment ATF 137 précité, consid. 2.3.2]).</w:t>
      </w:r>
    </w:p>
    <w:p>
      <w:r>
        <w:rPr>
          <w:b/>
        </w:rPr>
        <w:t>E. 7.4</w:t>
      </w:r>
    </w:p>
    <w:p>
      <w:r>
        <w:t>Enfin, du moment que la communauté familiale que X._______ forme avec sa nouvelle épouse et l'enfant de celle-ci s'est agrandie par rapport à celle qu'il constituait avec sa précédente épouse, il importe éga­lement de vérifier que l'intéressé, son conjoint et les quatre enfants que leur ménage serait supposé compter en cas d'admission de la demande de regroupement familial ne dépendent pas de l'aide sociale (art. 44let. c LEtr). Les deux derniers éléments évoqués ci-avant constituent des conditions de base qui doivent aussi être impérativement remplies pour qu'une autorisation de séjour puisse être accordée dans le cadre del'art. 44 LEtr applicable au cas d'espèce (cf. notamment arrêts du Tribunal fédéral 2C_194/2011 du 17 novembre 2011 consid. 2.2.2 et 2C_345/2009 du 22 octobre 2009 consid. 2.2.1).</w:t>
      </w:r>
    </w:p>
    <w:p>
      <w:r>
        <w:rPr>
          <w:b/>
        </w:rPr>
        <w:t>E. 8</w:t>
      </w:r>
    </w:p>
    <w:p>
      <w:r>
        <w:t>En conséquence, le Tribunal considère que la cause, en l'état, n'est pas susceptible d'être définitivement tranchée. Les divers points évoqués ci-dessus nécessitent en effet d'être éclaircis à satisfaction.</w:t>
      </w:r>
    </w:p>
    <w:p>
      <w:r>
        <w:rPr>
          <w:b/>
        </w:rPr>
        <w:t>E. 9.1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Moor / Poltier, op. cit.,no 5.8.4.3, pp. 826 à 828; Philippe Weissenberger, in Waldman / Weissenberger, Praxiskommentar zum Bundesgesetz über das Verwal­tungsverfahren, Zurich/Bâle/Genève 2009, ad art. 61 PA, pp. 1210 et 1211, ch. 16 et 17; Madeleine Camprubi, in Auer / Müller / Schindler, Kommentar zum Bundesgesetz über das Verwaltungsverfahren [VwVG], Zurich/Saint-Gall 2008, no 11, p. 773; Alfred Kölz/Isabelle Häner, Verwaltungsverfahren und Verwaltungsrechtspflege des Bundes, 2ème éd., Zurich 1998, no 694, pp. 245/246).</w:t>
      </w:r>
    </w:p>
    <w:p>
      <w:r>
        <w:rPr>
          <w:b/>
        </w:rPr>
        <w:t>E. 9.2</w:t>
      </w:r>
    </w:p>
    <w:p>
      <w:r>
        <w:t>Il ressort des considérations émises auparavant que des conditions essentielles auxquelles est en l'occurrence subordonné le regroupement familial partiel, plus particulièrement en ce qui concerne la question de la légitimation du recourant, sous l'angle du droit civil, à vivre avec ses trois enfants, B._______, C._______ et D._______, en Suisse, méritent un examen complé­mentaire, au besoin avec le concours de l'autorité genevoise compétente en matière de droit des étrangers et de la Représentation de Suisse au Kosovo. Aussi se justifie-t-il, ne serait-ce que pour sauvegarder le prin­cipe de la double instance, d'annuler la décision attaquée, de renvoyer la cause à l'ODM pour que ledit office complète l'instruction du dossier sur les points soulevés aux considérants 7.1 à 7.4 ci-dessus et, cela fait, rende une nouvelle décision.</w:t>
      </w:r>
    </w:p>
    <w:p>
      <w:r>
        <w:rPr>
          <w:b/>
        </w:rPr>
        <w:t>E. 10</w:t>
      </w:r>
    </w:p>
    <w:p>
      <w:r>
        <w:t>Au vu de ce qui précède, le recours est admis, la décision de l'ODM du 16 février 2012 annulée et la cause renvoyée à cette autorité pour complément d'instruction et nouvelle décision dans le sens des considé­rants (art. 61 al. 1 in fine PA).</w:t>
      </w:r>
    </w:p>
    <w:p>
      <w:r>
        <w:rPr>
          <w:b/>
        </w:rPr>
        <w:t>E. 11</w:t>
      </w:r>
    </w:p>
    <w:p>
      <w:r>
        <w:t>Obtenant gain de cause (cf., en ce sens, notamment ATF 131 II 72 consid. 4 et arrêt du Tribunal fédéral 2C_60/2011 du 12 mai 2011consid. 2.4), le recourant n'a pas à supporter de frais de procédure(art. 63 al. 1 a contrario et al. 3 PA). Bien qu'elle succombe, l'autorité inférieure n'a pas à supporter de frais de procédure (art. 63 al. 2 PA). En outre, le recourant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