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C-1564/2016 vom 29. September 2016</w:t>
      </w:r>
    </w:p>
    <w:p>
      <w:r>
        <w:t>Bundesverwaltungsgericht, 2016-09-29, DE</w:t>
      </w:r>
    </w:p>
    <w:p>
      <w:r>
        <w:rPr>
          <w:b/>
        </w:rPr>
        <w:t xml:space="preserve">Quelle: </w:t>
      </w:r>
      <w:r>
        <w:t>https://mcp.opencaselaw.ch/entscheid/bvger_C-1564_2016</w:t>
      </w:r>
    </w:p>
    <w:p>
      <w:r>
        <w:t>FR: TAF C-1564/2016 du 29 septembre 2016</w:t>
      </w:r>
    </w:p>
    <w:p>
      <w:r>
        <w:t>IT: TAF C-1564/2016 del 29 settembre 2016</w:t>
      </w:r>
    </w:p>
    <w:p>
      <w:pPr>
        <w:pStyle w:val="Heading2"/>
      </w:pPr>
      <w:r>
        <w:t>Regeste</w:t>
      </w:r>
    </w:p>
    <w:p>
      <w:r>
        <w:t>Krankenversicherung (Übriges)</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Viszeralchirurgie)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Die Vorbringen der Beschwerdeführerin und namentlich die in ihrer Noveneingabe geübte Kritik am Urteil C-2251/2015 entsprechen denjeni­gen im Verfahren C-1465/2016. Im Urteil C-1465/2016 vom 26. September 2016 (zur BVGE-Publikation vorgesehen) hat sich das Bundesverwal­tungs­gericht einlässlich damit auseinandergesetzt; die dort gemachten Ausführungen (C-1465/2016 E. 1.3 ff.) gelten auch vorliegend.</w:t>
      </w:r>
    </w:p>
    <w:p>
      <w:r>
        <w:rPr>
          <w:b/>
        </w:rPr>
        <w:t>E. 1.4</w:t>
      </w:r>
    </w:p>
    <w:p>
      <w:r>
        <w:t>Im - von der Beschwerdeführerin in kritisierten - Urteil C-2251/2015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1.5</w:t>
      </w:r>
    </w:p>
    <w:p>
      <w:r>
        <w:t>Die Beschwerdeführerin macht geltend, im Urteil C-2251/2015 setze sich das Bundesverwaltungsgericht nicht (hinreichend) mit der Rechtsnatur des Zuordnungsbeschlusses auseinander. Daher verkenne es, dass dieser individuell-konkreten Charakter habe und unmittelbare, äusserst einschneidende Konsequenzen für die betroffenen Leistungserbringer nach sich ziehe (act. 15 Rz. 16). Der Beschluss regle einen in sich geschlossenen Sachverhalt für eine Reihe von bestimmbaren Leistungserbringern verbindlich und definitiv. Es handle sich um eine Anordnung, mit welcher fünf viszeralchirurgische Eingriffe beziehungsweise Leistungen aufgrund der in der IVHSM festgelegten Kriterien der HSM zugeordnet würden. Es gehe hier mithin um Rechtsanwendung beziehungsweise Subsumtion. Für die Leistungserbringer, die im Bereich der Viszeralchirurgie tätig seien, und somit auch für die Beschwerdeführerin, zeitige der Beschluss unmittelbare Folgen. Für sie bedeute der Zuordnungsbeschluss, dass ihr der bisherige, rechtskräftig erteilte Leistungsauftrag im betreffenden Bereich entzogen werde und sie sich neu im Rahmen eines zeit- und kostenintensiven Verfahrens für die Zuteilung eines entsprechenden Leistungsauftrages bewerben müsse, wobei der Ausgang des Verfahrens höchst ungewiss sei (act. 1 Rz. 30). Als weitere unmittelbare Auswirkungen des Zuordnungsbeschlusses fügt sie unter anderem an, dass es bei den Zuweisungen für die betreffenden Eingriffe bereits vor dem Zuteilungsentscheid zu einer Verlagerung zu den grossen Zentrumsspitälern kommen würde. Dies führe bei der Beschwerdeführerin namentlich zu sinkenden Fallzahlen in diesen Bereichen, Mindereinnahmen, Planungsunsicherheiten und erschwere die Rekrutierung von qualifiziertem Personal (act. 12 Rz. 8).</w:t>
      </w:r>
    </w:p>
    <w:p>
      <w:r>
        <w:rPr>
          <w:b/>
        </w:rPr>
        <w:t>E. 1.5.1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(BGE 139 II 384;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Kiener/Rütsche/Kuhn, Öffentliches Verfahrensrecht, 2. Aufl. 2015, S. 105). Der Begriff der Sammelverfügung wird in Lehre und Rechtsprechung jedoch kaum verwendet.</w:t>
      </w:r>
    </w:p>
    <w:p>
      <w:r>
        <w:rPr>
          <w:b/>
        </w:rPr>
        <w:t>E. 1.5.2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1.5.3</w:t>
      </w:r>
    </w:p>
    <w:p>
      <w:r>
        <w:t>Diese Begründung, weshalb der Zuordnungsbeschluss nicht als Allgemeinverfügung zu qualifizieren ist, trifft auch für die Verneinung einer Individual-Verfügung zu. Soweit die Beschwerdeführerin geltend macht, die Adressaten des Zuordnungsbeschlusses seien bestimmt oder zumindest ohne Weiteres bestimmbar, kann ihr nicht gefolgt werden.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Häfelin/Müller/Uhlmann, a.a.O., Rz. 867). Der kantonale Leistungsauftrag im Bereich Viszeralchirurgie wird der Beschwerdeführerin durch den Zuordnungsbeschluss (noch) nicht entzogen. Dass dies später mit dem Zuteilungsentscheid erfolgen wird, vermag die Verfügungsqualität des Zuordnungsbeschlusses nicht zu begründen. Bei den von der Beschwerdeführerin angeführten Konsequenzen (bspw. Aufwand durch neues Bewerbungsverfahren mit ungewissem Ausgang und entsprechenden Planungsunsicherheiten) geht es zudem primär um Auswirkungen tatsächlicher (nicht rechtlicher) Natur (C-1465/2016 E. 1.4.3).</w:t>
      </w:r>
    </w:p>
    <w:p>
      <w:r>
        <w:rPr>
          <w:b/>
        </w:rPr>
        <w:t>E. 1.5.4</w:t>
      </w:r>
    </w:p>
    <w:p>
      <w:r>
        <w:t>Weiter ist darauf hinzuweisen, dass die von der Beschwerdeführerin vorgebrachten Konsequenzen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 (C-1465/2016 E. 1.4.4).</w:t>
      </w:r>
    </w:p>
    <w:p>
      <w:r>
        <w:rPr>
          <w:b/>
        </w:rPr>
        <w:t>E. 1.5.5</w:t>
      </w:r>
    </w:p>
    <w:p>
      <w:r>
        <w:t>Der Zuordnungsentscheid bildet die Voraussetzung und die Ausgangslage für die Zuteilung der Leistungsaufträge.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Zuordnungsbeschlüsse fallen daher - wie andere Entscheide im Rahmen der Spitalplanung - nicht in den Anwendungsbereich von Art. 53 Abs. 1 KVG (C-1465/2016 E. 1.4.5 mit Hinweisen).</w:t>
      </w:r>
    </w:p>
    <w:p>
      <w:r>
        <w:rPr>
          <w:b/>
        </w:rPr>
        <w:t>E. 1.6</w:t>
      </w:r>
    </w:p>
    <w:p>
      <w:r>
        <w:t>Die Beschwerdeführerin macht weiter geltend, die Anfechtbarkeit des Zuordnungsbeschlusses ergebe sich auch aus Art. 12 IVHSM (vgl. act. 12 Rz. 13 ff.). Als interkantonale Vereinbarung stelle die IVHSM einen öffentlich-rechtlichen Vertrag dar, welcher gleich wie privatrechtliche Verträge nach dem Vertrauensprinzip auszulegen sei. Deshalb wäre zunächst der wirkliche Wille der Vertragsparteien, subsidiär deren mutmasslicher (normativer) Wille zu ermitteln gewesen. Zudem sei der Wortlaut von Art. 12 Abs. 1 IVHSM unmissverständlich. Im Urteil C-2251/2015 habe das Bundesverwaltungsgericht aber bei der Auslegung der IVHSM die Regeln der Vertragsauslegung nicht beachtet (act. 15 Rz. 18 ff.).</w:t>
      </w:r>
    </w:p>
    <w:p>
      <w:r>
        <w:rPr>
          <w:b/>
        </w:rPr>
        <w:t>E. 1.6.1</w:t>
      </w:r>
    </w:p>
    <w:p>
      <w:r>
        <w:t>Es trifft zwar zu, dass interkantonale Vereinbarungen öffentlich-rechtlicher Natur sind (vgl. Tobias Jaag, in: Biaggini/Gächter/Kiener [Hrsg.], Staatsrecht, 2. Aufl. 2015 § 14 Rz. 4). Es ist jedoch zwischen den verschiedenen Arten von Vereinbarungen zu unterscheiden, insbesondere zwischen rechtsetzenden und rechtsgeschäftlichen Vereinbarungen (Waldmann/Schnyder von Wartensee, in: Basler Kommentar, Bundesverfassung, 2015, Art. 48 Rz. 21; Jaag, a.a.O. Rz. 4 ff.). Den Regeln für verwaltungsrechtliche Verträge unterliegen primär rechtsgeschäftliche Vereinbarungen (vgl. Häfelin/Müller/Uhlmann, a.a.O., Rz. 1302). Rechtsetzende Vereinbarungen können - wie völkerrechtliche Verträge - ganz oder teilweise unmittelbar anwendbar (self-executing) sein oder einer Umsetzung durch den kantonalen Gesetzgeber bedürfen (Jaag, a.a.O. Rz. 5; vgl. auch Häfelin/Müller/Uhlmann, Rz. 133 ff.). Die Auslegung von unmittelbar rechtsetzenden Bestimmungen erfolgt nach den üblichen, für Rechtssätze geltenden Grundsätzen (Waldmann/Schnyder von Wartensee, a.a.O., Art. 48 Rz. 21), wobei das interkantonale Recht in der Normenhierarchie zwischen kantonalem Recht und Bundesrecht steht (vgl. Häfelin/ Haller et al., Schweizerisches Bundesstaatsrecht, 9. Aufl. 2016, Rz. 1272; Jaag, a.a.O., Rz. 13 f.; siehe auch Art. 48 Abs. 5 BV).</w:t>
      </w:r>
    </w:p>
    <w:p>
      <w:r>
        <w:rPr>
          <w:b/>
        </w:rPr>
        <w:t>E. 1.6.2</w:t>
      </w:r>
    </w:p>
    <w:p>
      <w:r>
        <w:t>Interkantonale Vereinbarungen rechtsetzender Natur können - so­fern sie unmittelbar anwendbar sind - wie kantonale Erlasse abstrakt beim Bundesgericht angefochten werden (vgl. Art. 82 Bst. b BGG; BGE 137 I 31 E. 1.3; Heinz Aemisegger, in: Praxiskommentar zum Bundesgerichts­gesetz, 2. Aufl. 2013, Art. 82 Rz. 24). Nach ständiger Rechtsprechung hebt das Bundesgericht eine kantonale (bzw. interkantonale) Norm aber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(BGE 140 I 2 E. 4; 137 I 31 E. 2 mit Hinweisen).</w:t>
      </w:r>
    </w:p>
    <w:p>
      <w:r>
        <w:rPr>
          <w:b/>
        </w:rPr>
        <w:t>E. 1.6.3</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1.6.4</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 zum Ganzen: C-1465/2016 E. 1.5.4).</w:t>
      </w:r>
    </w:p>
    <w:p>
      <w:r>
        <w:rPr>
          <w:b/>
        </w:rPr>
        <w:t>E. 1.6.5</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(C-2251/2015 E. 3.3.3). Weiter stellte es fest, dass diese Regelung system- und bundesrechtskonform ist (C-2251/2015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C-2251/2015 E. 5.2) ist (vgl. auch Urteil BGer 2C_399/2012 vom 8. Juni 2012 E. 2.5, wonach Art. 53 KVG i.V.m. Art. 83 Bst. r BGG den Rechtsmittelweg gegenüber kantonalen Spitallistenbeschlüssen abschliessend regelt und die Kantone nicht zusätzlich ein Rechtsmittel an ein kantonales Gericht vorsehen können; zum Ganzen: C-1465/2016 E. 1.5.5).</w:t>
      </w:r>
    </w:p>
    <w:p>
      <w:r>
        <w:rPr>
          <w:b/>
        </w:rPr>
        <w:t>E. 1.7</w:t>
      </w:r>
    </w:p>
    <w:p>
      <w:r>
        <w:t>Schliesslich macht die Beschwerdeführerin auch vorliegend geltend, eine Qualifikation des Zuordnungsbeschlusses als nicht anfechtbarer Akt wäre auch deshalb nicht überzeugend, weil dieser spätestens im Zusammenhang mit den darauf gestützten Zuteilungsentscheiden akzessorisch anfechtbar wäre. Die Erkenntnis, dass dies verfahrensökonomisch nicht sinnvoll wäre, habe das Bundesverwaltungsgericht vermutlich dazu bewegt, eine Zweiteilung des Verfahrens in Zuordnung und Zuteilung zu fordern (act. 1 Rz. 33).</w:t>
      </w:r>
    </w:p>
    <w:p>
      <w:r>
        <w:rPr>
          <w:b/>
        </w:rPr>
        <w:t>E. 1.7.1</w:t>
      </w:r>
    </w:p>
    <w:p>
      <w:r>
        <w:t>Zur Begründung, weshalb im HSM-Bereich ein zweistufiges Verfah­ren erforderlich ist, kann auf BVGE 2013/46 (E. 6-8) verwiesen werden; vorliegend erübrigen sich weitere Ausführungen dazu. Weshalb eine nur akzessorische Anfechtbarkeit der Zuordnungsentscheide verfahrensöko­nomisch nicht sinnvoll sein soll, wird von der Beschwerdeführerin nicht weiter begründet und ist auch nicht ersichtlich. Die Anfechtbarkeit der Spitallistenbeschlüsse beziehungsweise die Überprüfungsbefugnis des Bundesverwaltungsgerichts sind in Beschwerdeverfahren gegen kanto­nale Spitallistenbeschlüsse und gegen HSM-Zuteilungsbeschlüsse gleich (betreffend Anfechtungsgegenstand vgl. E. 1.5.4 f.; C-1465/2016 E. 1.6.1).</w:t>
      </w:r>
    </w:p>
    <w:p>
      <w:r>
        <w:rPr>
          <w:b/>
        </w:rPr>
        <w:t>E. 1.7.2</w:t>
      </w:r>
    </w:p>
    <w:p>
      <w:r>
        <w:t>Mit Beschwerde gegen einen Spitallistenentscheid im Sinne von Art. 39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 (zum Ganzen: C-1465/2016 E. 1.6.2).</w:t>
      </w:r>
    </w:p>
    <w:p>
      <w:r>
        <w:rPr>
          <w:b/>
        </w:rPr>
        <w:t>E. 1.8</w:t>
      </w:r>
    </w:p>
    <w:p>
      <w:r>
        <w:t>Nach der Rechtsprechung gemäss Urteil C-2251/2015, bestätigt mit Urteil C-1465/2016, können Zuordnungsbeschlüsse des HSM-Beschlussorgans nicht beim Bundesverwaltungsgericht angefochten werden. Die Beschwerde ist daher offensichtlich unzulässig, weshalb im einzelrichterlichen Verfahren (vgl. Art. 23 Abs. 1 Bst. b VGG) nicht darauf einzutreten ist.</w:t>
      </w:r>
    </w:p>
    <w:p>
      <w:r>
        <w:rPr>
          <w:b/>
        </w:rPr>
        <w:t>E. 2</w:t>
      </w:r>
    </w:p>
    <w:p>
      <w:r>
        <w:t>Zu befinden bleibt abschliessend über die Verfahrenskosten und eine allfällige Parteientschädigung.</w:t>
      </w:r>
    </w:p>
    <w:p>
      <w:r>
        <w:rPr>
          <w:b/>
        </w:rPr>
        <w:t>E. 2.1</w:t>
      </w:r>
    </w:p>
    <w:p>
      <w:r>
        <w:t>Die Beschwerdeführerin beantragt subeventualiter, es seien die ihr im Zusammenhang mit der Stellungnahme vom 22. Juni 2016 und der Noveneingabe vom 1. Juli 2016 entstandenen Aufwendungen bei der Festlegung der Kosten- und Entschädigungsfolgen zu berücksichtigen, insbesondere durch Erlass der Verfahrenskosten.</w:t>
      </w:r>
    </w:p>
    <w:p>
      <w:r>
        <w:rPr>
          <w:b/>
        </w:rPr>
        <w:t>E. 2.1.1</w:t>
      </w:r>
    </w:p>
    <w:p>
      <w:r>
        <w:t>Zur Begründung macht die Beschwerdeführerin im Wesentlichen eine Verletzung des Anspruchs auf rechtliches Gehör und ein widersprüchliches Verhalten des Bundesverwaltungsgerichts geltend, weil das Urteil C-2251/2015 gefällt worden sei, obwohl im vorliegenden Verfahren die der Beschwerdeführerin angesetzte Frist zur Stellungnahme betreffend Eintretensvoraussetzungen noch nicht abgelaufen gewesen sei. Hätte die Beschwerdeführerin gewusst, dass sich das Gericht seine Meinung zur Eintretensfrage bereits gemacht hatte, hätte sie selbstverständlich auf weitere Eingaben verzichtet und damit entsprechende Kosten gespart. Weiter führt sie aus, zur Noveneingabe habe sie sich gezwungen gesehen, weil das Urteil C-2251/2015 offensichtliche Mängel aufweise.</w:t>
      </w:r>
    </w:p>
    <w:p>
      <w:r>
        <w:rPr>
          <w:b/>
        </w:rPr>
        <w:t>E. 2.1.2</w:t>
      </w:r>
    </w:p>
    <w:p>
      <w:r>
        <w:t>Anspruch auf rechtliches Gehör haben die Parteien (Art. 29 Abs. 2 BV; Art. 29 Abs. 2 VwVG). Im Verfahren C-2251/2015 war die Beschwerdeführerin nicht Partei und daher nicht anzuhören. Aus dem Gehörsanspruch und der daraus fliessenden Begründungspflicht (vgl. BGE 136 I 229 E. 5.2; C-4232/2014 E. 3.1 mit Hinweisen) kann sie nichts zu ihren Gunsten ableiten. Der Antrag auf Erlass der Verfahrenskosten ist demnach abzuweisen (vgl. auch C-1465/2016 E. 2.1.2).</w:t>
      </w:r>
    </w:p>
    <w:p>
      <w:r>
        <w:rPr>
          <w:b/>
        </w:rPr>
        <w:t>E. 2.1.3</w:t>
      </w:r>
    </w:p>
    <w:p>
      <w:r>
        <w:t>Die Verfahrenskosten sind vorliegend auf CHF 2'000.- festzusetzen und der Beschwerdeführerin aufzuerlegen (vgl. Art. 63 Abs. 1 VwVG, Art. 2 Abs. 1 des Reglements vom 21. Februar 2008 über die Kosten und Entschädigungen vor dem Bundesverwaltungsgericht [VGKE, SR 173.320.2]). Der Betrag wird dem Kostenvorschuss von CHF 5'000.- entnommen. Der Restbetrag von CHF 3'000.- wird der Beschwerdeführerin zurückerstattet.</w:t>
      </w:r>
    </w:p>
    <w:p>
      <w:r>
        <w:rPr>
          <w:b/>
        </w:rPr>
        <w:t>E. 2.2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w:t>
      </w:r>
    </w:p>
    <w:p>
      <w:r>
        <w:rPr>
          <w:b/>
        </w:rPr>
        <w:t>E. 3</w:t>
      </w:r>
    </w:p>
    <w:p>
      <w:r>
        <w:t>Die Beschwerde in öffentlich-rechtlichen Angelegenheiten an das Bundes­gericht ist unzulässig (vgl. E. 1.2 mit Hinweisen; Art. 83 Bst. r BGG; BGE 141 V 361).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