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C-1563/2008 vom 13. September 2010</w:t>
      </w:r>
    </w:p>
    <w:p>
      <w:r>
        <w:t>Bundesverwaltungsgericht, 2010-09-13, DE</w:t>
      </w:r>
    </w:p>
    <w:p>
      <w:r>
        <w:rPr>
          <w:b/>
        </w:rPr>
        <w:t xml:space="preserve">Quelle: </w:t>
      </w:r>
      <w:r>
        <w:t>https://mcp.opencaselaw.ch/entscheid/bvger_C-1563_2008</w:t>
      </w:r>
    </w:p>
    <w:p>
      <w:r>
        <w:t>FR: TAF C-1563/2008 du 13 septembre 2010</w:t>
      </w:r>
    </w:p>
    <w:p>
      <w:r>
        <w:t>IT: TAF C-1563/2008 del 13 settembre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Art. 52 VwVG und Art. 63 Abs. 4 VwVG).</w:t>
      </w:r>
    </w:p>
    <w:p>
      <w:r>
        <w:rPr>
          <w:b/>
        </w:rPr>
        <w:t>E. 3.1</w:t>
      </w:r>
    </w:p>
    <w:p>
      <w:r>
        <w:t>Da der Beschwerdeführer (auch) schweizerischer Staatsangehöriger ist, richten sich die Ausgestaltung des Verfahrens sowie die Prüfung der Anspruchsvoraussetzungen der schweizerischen Invalidenrente nach der schweizerischen Rechtsordnung (vgl. Art. 6 Abs. 1 IVG).</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4.1</w:t>
      </w:r>
    </w:p>
    <w:p>
      <w:r>
        <w:t>Der Beschwerdeführer rügt zunächst, dass er auf den Vorbescheid der IVSTA hin eine mündliche Anhörung verlangt hatte, eine solche von der IVSTA aber nicht ermöglicht wurde.</w:t>
      </w:r>
    </w:p>
    <w:p>
      <w:r>
        <w:rPr>
          <w:b/>
        </w:rPr>
        <w:t>E. 4.2</w:t>
      </w:r>
    </w:p>
    <w:p>
      <w:r>
        <w:t>Angesichts der formellen Natur des Anspruchs auf Durchführung einer mündlichen Anhörung im Vorbescheidverfahren ist - analog zum Anspruch auf Gewährung des rechtliche Gehörs (vgl. BGE 132 V 387 E. 5.1 mit Hinweisen) - vorab zu prüfen, ob diese Rüge begründet ist.</w:t>
      </w:r>
    </w:p>
    <w:p>
      <w:r>
        <w:rPr>
          <w:b/>
        </w:rPr>
        <w:t>E. 4.3</w:t>
      </w:r>
    </w:p>
    <w:p>
      <w:r>
        <w:t>Gemäss Art. 73ter Abs. 2 der Verordnung über die Invalidenversicherung vom 17. Januar 1961 (IVV, SR 831.201) in Verbindung mit Art. 57 Abs. 1 IVG (beide in der ab 1. Juli 2006 geltenden Fassung) kann die versicherte Person ihre Einwände im Vorbescheidverfahren schriftlich oder mündlich bei der IV-Stelle vorbringen. Bei mündlich vorgetragenen Einwänden erstellt die IV-Stelle ein summarisches, von der versicherten Person zu unterzeichnendes Protokoll. Für die Anhörung werden weder ein Taggeld noch Reisekosten vergütet (Art. 73ter Abs. 4 IVV). Diese Regelung gilt für sämtliche Vorbescheidverfahren betreffend Leistungsfestsetzung und alle IV-Stellen. Insbesondere sehen Gesetz und Verordnung für Versicherte mit Wohnsitz im Ausland und/oder für die IVSTA keine abweichende Regelung vor.</w:t>
      </w:r>
    </w:p>
    <w:p>
      <w:r>
        <w:rPr>
          <w:b/>
        </w:rPr>
        <w:t>E. 4.4</w:t>
      </w:r>
    </w:p>
    <w:p>
      <w:r>
        <w:t>Eine Verletzung des Anspruchs auf mündliche Anhörung im Vorbescheidverfahren führt - analog zur Verweigerung des Anspruchs auf rechtliches Gehör (vgl. zu diesem BGE 132 V 387 E. 5.1, BGE 127 V 431 E. 3d/aa) - grundsätzlich ungeachtet der Erfolgsaussichten der Beschwerde in der Sache selbst zur Aufhebung der angefochtenen Verfügung (vgl. Urteil des Bundesverwaltungsgerichts C-2052/2007 vom 13. November 2009 E. 4.2). Dieser Grundsatz wird allerdings dadurch relativiert, dass die Verletzung des Gehörsanspruchs gegebenenfalls durch die Rechtsmittelinstanz geheilt werden kann (vgl. das genannte Urteil des Bundesverwaltungsgerichts E. 4.2; vgl. auch BGE 132 V 387 E. 5.1 mit Hinweis und BGE 133 I 201 E. 2.2).</w:t>
      </w:r>
    </w:p>
    <w:p>
      <w:r>
        <w:rPr>
          <w:b/>
        </w:rPr>
        <w:t>E. 4.5</w:t>
      </w:r>
    </w:p>
    <w:p>
      <w:r>
        <w:t>Es trifft zu, dass die IVSTA davon abgesehen hat, eine mündliche Anhörung im Vorbescheidverfahren durchzuführen, obwohl der Beschwerdeführer eine solche mit Eingabe vom 19. November 2007 (IV/24) ausdrücklich verlangt und darauf einen gesetzlichen Anspruch hatte. Sie bot dem Beschwerdeführer allerdings Gelegenheit, ihr ärztliche Unterlagen und seine Einwände schriftlich zukommen zu lassen, was er mit Schreiben vom 21. Dezember 2007 tat (IV/27). Eine mündliche Anhörung verlangte er hingegen nicht mehr (und verzichtete damit implizite auf eine solche). Somit ist dem Beschwerdeführer im Lichte des klaren Wortlauts von Art. 73ter Abs. 2 IVV, welcher auch die Möglichkeit anbietet, dass sich die versicherte Person schriftlich äussern kann, und weder Art. 57a IVG noch Art. 42 ATSG entgegensteht, das rechtliche Gehör ohne Zweifel gewährt worden. Demnach muss in casu auch nicht geprüft werden, ob das Gericht als Beschwerdeinstanz eine allfällige Verletzung des rechtlichen Gehörs (bzw. des Anspruchs auf mündliche Anhörung) im Vorbescheidverfahren zu heilen habe (vgl. auch das genannte Urteil des Bundesverwaltungsgericht E. 4.3).</w:t>
      </w:r>
    </w:p>
    <w:p>
      <w:r>
        <w:rPr>
          <w:b/>
        </w:rPr>
        <w:t>E. 4.6</w:t>
      </w:r>
    </w:p>
    <w:p>
      <w:r>
        <w:t>Diese Beurteilung betrifft nur die vorliegende Sache. Sie ändert nichts daran, dass die IVSTA dazu verpflichtet ist, Anträgen auf mündliche Anhörung im Vorbescheidverfahren Folge zu leisten. Eine systematisch davon abweichende Praxis der IVSTA wäre rechtswidrig und nicht zu schützen.</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5.3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6.1</w:t>
      </w:r>
    </w:p>
    <w:p>
      <w:r>
        <w:t>Im vorliegenden Verfahren ist streitig und vom Bundesverwaltungsgericht zu prüfen, ob die IVSTA zu Recht das Leistungsbegehren betreffend einen Rentenanspruch des Beschwerdeführers verneint hat. Nicht Gegenstand des Verfahrens ist, ob die IVSTA zu Recht das Leistungsbegehren betreffend einen Anspruch auf Gewährung medizinischer Eingliederungsmassnahmen verneint hat, zumal der Beschwerdeführer in der Beschwerde ausführt, dass die (von ihm selbst vorgenommenen) Eingliederungsmassnahmen erfolglos geblieben seien (vgl. Beschwerde) und er die Verfügung der IVSTA diesbezüglich somit sichtlich nicht angefochten hat.</w:t>
      </w:r>
    </w:p>
    <w:p>
      <w:r>
        <w:rPr>
          <w:b/>
        </w:rPr>
        <w:t>E. 6.2</w:t>
      </w:r>
    </w:p>
    <w:p>
      <w:r>
        <w:t>Die Voraussetzung der - noch nach altem Recht zu beurteilenden - Mindestbeitragsdauer von zwölf Monaten (vgl. Art. 36 Abs. 1 IVG in der bis 31. Dezember 2007 geltenden Fassung) ist erfüllt. Es bleibt daher zu prüfen, ob der Beschwerdeführer in rentenrelevantem Ausmass invalid ist.</w:t>
      </w:r>
    </w:p>
    <w:p>
      <w:r>
        <w:rPr>
          <w:b/>
        </w:rPr>
        <w:t>E. 6.3</w:t>
      </w:r>
    </w:p>
    <w:p>
      <w:r>
        <w:t>Gemäss dem 2001 bereits geltenden und per 31. Dezember 2007 aufgehobenen Art. 48 Abs. 2 IVG werden, wenn sich ein Versicherter erst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kommt betreffend die Wartefrist der obgenannte Art. 48 Abs. 2 IVG zur Anwendung (und nicht Art. 29 Abs. 1 IVG in der ab 1. Januar 2008 geltenden Fassung).</w:t>
      </w:r>
    </w:p>
    <w:p>
      <w:r>
        <w:rPr>
          <w:b/>
        </w:rPr>
        <w:t>E. 6.4</w:t>
      </w:r>
    </w:p>
    <w:p>
      <w:r>
        <w:t>Das Anmeldeformular des Beschwerdeführers ging am 17. Oktober 2006 bei der IVSTA ein, weshalb zu prüfen ist, ob am 17. Oktober 2005 (ein Jahr vor Einreichen der Anmeldung, vgl. oben E. 5.3) bereits ein Anspruch bestand oder ob ein solcher danach bis zum 8. Februar 2008 (Erlass der angefochtenen Verfügung) entstanden ist.</w:t>
      </w:r>
    </w:p>
    <w:p>
      <w:r>
        <w:rPr>
          <w:b/>
        </w:rPr>
        <w:t>E. 6.5</w:t>
      </w:r>
    </w:p>
    <w:p>
      <w:r>
        <w:t>Gemäss Art. 29 Abs. 1 Bst. b IVG (in der vom 1. Januar 2003 bis 31. Dezember 2007 geltenden Fassung) beziehungsweise Art. 28 Abs. 1 Bst. b IVG (in der seit 1. Januar 2008 geltenden Fassung) entsteht der Rentenanspruch - wenn eine labile, lang dauernde Krankheit im Sinne von Art. 6 ATSG in Frage steht - frühestens in dem Zeitpunkt, in dem die versicherte Person während eines Jahres ohne wesentlichen Unterbruch durchschnittlich mindestens zu 40 Prozent arbeitsunfähig gewesen war.</w:t>
      </w:r>
    </w:p>
    <w:p>
      <w:r>
        <w:rPr>
          <w:b/>
        </w:rPr>
        <w:t>E. 6.6</w:t>
      </w:r>
    </w:p>
    <w:p>
      <w:r>
        <w:t>Gemäss Art. 28 Abs. 1 IVG (4. IV-Revision) beziehungsweise Art. 28 Abs. 2 IVG (5. IVG-Revision) besteht bei einem Invaliditätsgrad von mindestens 70% Anspruch auf eine ganze Rente, bei einem Invaliditätsgrad von mindestens 60% Anspruch auf eine Dreiviertelsrente, bei einem Invaliditätsgrad von mindestens 50% Anspruch auf eine halbe Rente und bei einem Invaliditätsgrad von mindestens 40% Anspruch auf eine Viertelsrente.</w:t>
      </w:r>
    </w:p>
    <w:p>
      <w:r>
        <w:rPr>
          <w:b/>
        </w:rPr>
        <w:t>E. 6.7</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7.1</w:t>
      </w:r>
    </w:p>
    <w:p>
      <w:r>
        <w:t>Der Beschwerdeführer beantragt die Ausrichtung einer Invalidenrente, da er aus gesundheitlichen Gründen arbeitsunfähig sei.</w:t>
      </w:r>
    </w:p>
    <w:p>
      <w:r>
        <w:rPr>
          <w:b/>
        </w:rPr>
        <w:t>E. 7.2</w:t>
      </w:r>
    </w:p>
    <w:p>
      <w:r>
        <w:t>In den Akten finden sich die folgenden medizinischen Unterlagen aus den Jahren 2005 und 2006: Arztberichte von Dr. B._______ (Orthopäde) vom 21. März und 25. Mai 2005 (IV/29 und 30 bzw. act. 1.10 und 1.11), neurologische Arztberichte von Dr. C._______ vom 7. Juni 2005 (IV/15 bzw. act. 1.7, übersetzt in IV/16), vom 22. Juni 2005 (IV/17 bzw. act. 1.6, übersetzt in IV/18) und vom 20. März und 25. April 2006 (IV/19 bzw. act. 1.9, übersetzt in IV/20) sowie eine Physiotherapie-Verschreibung von Dr. C._______ vom 25. April 2006 (IV/13 bzw. act. 1.6, übersetzt in IV/14), Gastroskopie-Bericht des Krankenhauses D._______ vom 1. November 2006 (IV/28 bzw. act. 1.8, übersetzt in act. 10). In diesen medizinischen Akten - welche bereits in den Vorakten vorhanden waren - wurden insbesondere die folgenden Diagnosen gestellt: chronisches lumbosakrales Syndrom mit Irritation L5 rechts bzw. mit aktueller Irritation L5 und S1 links, flache Lumballordose, verengte Bandscheibe L 4/5 und Osteochondrose in diesem Bereich, moderate Spondylose, Beginn einer Osteochondrose L3/4, scheinbare Skoliose, Pseudoradikulitis, präarthrotische Knie, Gonalgie (Knieschmerzen) rechts, Schmerzen in der rechten Achillesferse, Beginn einer Hypertrophie (Vergrösserung des Zellvolumens) der Prostata, Gastritis (ICD-10 K26.9, weder akut noch chronisch, ohne Blutung oder Perforation).</w:t>
      </w:r>
    </w:p>
    <w:p>
      <w:r>
        <w:rPr>
          <w:b/>
        </w:rPr>
        <w:t>E. 7.3</w:t>
      </w:r>
    </w:p>
    <w:p>
      <w:r>
        <w:t>Dr. E._______ vom medizinischen Dienst der IV-Stelle hielt in seiner Stellungnahme vom 14. Oktober 2007 als Hauptdiagnose mit Auswirkungen auf die Arbeitsfähigkeit rezidivierende Lumbalgien ohne relevante Funktionseinschränkungen fest. In den Arztberichten würden Lumbalgien mit möglicher Wurzelreizung erwähnt, radiologisch lägen altersentsprechende Abnützungen vor. Für administrative Tätigkeiten, auch als Konstrukteur, liege keine längerdauernde Arbeitsunfähigkeit vor. Er erachtete den Beschwerdeführer deshalb in seiner bisherigen Tätigkeit als uneingeschränkt arbeitsfähig.</w:t>
      </w:r>
    </w:p>
    <w:p>
      <w:r>
        <w:rPr>
          <w:b/>
        </w:rPr>
        <w:t>E. 7.4</w:t>
      </w:r>
    </w:p>
    <w:p>
      <w:r>
        <w:t>Ergänzend ist festzustellen, dass keines der genannten medizinischen Dokumente dem Beschwerdeführer eine gesundheitlich bedingte Einschränkung der Arbeitsfähigkeit attestiert. Es finden sich auch keine Hinweise darauf, dass die darin erwähnten Beschwerden (namentlich die Einschränkungen in der Beweglichkeit und die Gliederschmerzen) ein die Arbeitsfähigkeit des Beschwerdeführers als Maschinenbauingenieur einschränkendes Mass erreichten. Ausserdem wurden nur moderate medizinische Behandlungsmethoden verordnet, so hauptsächlich Physiotherapie, angemessene Ernährung, Bewegung und Schwimmen, Funktionskontrolle der Symptome, lokale Behandlung mit Gel, medikamentöse Behandlung der gastrointestinalen Symptome. Die von der Neurologin empfohlenen Medikamente und eine Behandlung mittels Injektion wurden vom Beschwerdeführer am 25. April 2006 sogar ausdrücklich abgelehnt (vgl. IV/19-20).</w:t>
      </w:r>
    </w:p>
    <w:p>
      <w:r>
        <w:rPr>
          <w:b/>
        </w:rPr>
        <w:t>E. 7.5</w:t>
      </w:r>
    </w:p>
    <w:p>
      <w:r>
        <w:t>Im Übrigen finden sich drei medizinische Dokumente aus dem Jahr 1978 in den Akten (act. 1.12, welches als einziges medizinisches Dokument im Beschwerdeverfahren neu eingereicht wurde; IV/31 bzw. act. 1.13; IV/32-33 bzw. act. 1.14). Angesichts ihres Alters und der Tatsache, dass der Beschwerdeführer gemäss eigenen Angaben die damaligen Beschwerden (Schmerzen) überwinden konnte (vgl. IV/8 S. 6 und IV/12 S. 4), kommt diesen Dokumenten im Rahmen des vorliegenden Verfahrens keine Bedeutung zu.</w:t>
      </w:r>
    </w:p>
    <w:p>
      <w:r>
        <w:rPr>
          <w:b/>
        </w:rPr>
        <w:t>E. 7.6</w:t>
      </w:r>
    </w:p>
    <w:p>
      <w:r>
        <w:t>Damit ist mit dem im Sozialversicherungsrecht geltenden Beweisgrad der überwiegenden Wahrscheinlichkeit (BGE 119 V 7) davon auszugehen, dass der Beschwerdeführer in seiner Arbeitsfähigkeit (als Maschinenbauingenieur) nicht aus gesundheitlichen Gründen eingeschränkt ist und dass weitere Beweismassnahmen (namentlich die vom Beschwerdeführer beantragten weiteren medizinischen Untersuchungen) an diesem Schluss nichts ändern würden, weshalb in antizipierter Beweiswürdigung auf weitere Beweiserhebungen zu verzichten ist (vgl. oben E. 4.3).</w:t>
      </w:r>
    </w:p>
    <w:p>
      <w:r>
        <w:rPr>
          <w:b/>
        </w:rPr>
        <w:t>E. 7.7</w:t>
      </w:r>
    </w:p>
    <w:p>
      <w:r>
        <w:t>Unter dem Gesichtspunkt der antizipierten Beweiswürdigung durfte unter diesen Umständen auch die IVSTA auf die Durchführung weiterer medizinischer Abklärung verzichten - zumal im Beschwerdeverfahren keine neuen medizinischen Unterlagen eingereicht wurden. Insbesondere durfte die IVSTA darauf verzichten, den Beschwerdeführer durch den ÄD persönlich untersuchen zu lassen. Die ärztlichen Dienste können zwar bei Bedarf selber ärztliche Untersuchungen von Versicherten durchführen, sind dazu aber nicht verpflichtet (vgl. Art. 49 Abs. 2 IVV in den vom 1. Januar 2004 bis 31. Dezember 2007 und seit 1. Januar 2008 geltenden Fassungen).</w:t>
      </w:r>
    </w:p>
    <w:p>
      <w:r>
        <w:rPr>
          <w:b/>
        </w:rPr>
        <w:t>E. 7.8</w:t>
      </w:r>
    </w:p>
    <w:p>
      <w:r>
        <w:t>Der Beschwerdeführer macht geltend, dass er seit Januar 2001 tatsächlich keine Erwerbstätigkeit habe ausüben können. Für die Invaliditätsbemessung nicht darauf abzustellen ist, ob eine invalide Person unter den konkreten Arbeitsmarktverhältnissen vermittelt werden kann, sondern einzig darauf, ob sie - mit Blick auf den allgemeinen (ausgeglichenen) Arbeitsmarkt - die ihr verbliebene Arbeitskraft noch wirtschaftlich nutzen könnte, wenn die verfügbaren Arbeitsplätze dem Angebot an Arbeitskräften entsprechen würden (vgl. AHI 1998 S. 291 E. 3b). Der Begriff des ausgeglichenen Arbeitsmarkts - auf welchen Art. 7 und Art. 16 ATSG Bezug nehmen -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(BGE 110 V 273 E. 4b; ZAK 1991 S. 320 E. 3b). Ob der Beschwerdeführer seit 2001 auf dem tschechischen Arbeitsmarkt tatsächlich keine Möglichkeit zur Erwerbstätigkeit gefunden hat, ist somit nicht massgeblich. Der Beschwerdeführer ist mit diesem Einwand somit nicht zu hören.</w:t>
      </w:r>
    </w:p>
    <w:p>
      <w:r>
        <w:rPr>
          <w:b/>
        </w:rPr>
        <w:t>E. 7.9</w:t>
      </w:r>
    </w:p>
    <w:p>
      <w:r>
        <w:t>In Anbetracht dessen, dass der Beschwerdeführer in seiner bisherigen Tätigkeit nicht in relevanter Weise eingeschränkt ist, kann auf die Vornahme eines Einkommensvergleichs verzichtet werden.</w:t>
      </w:r>
    </w:p>
    <w:p>
      <w:r>
        <w:rPr>
          <w:b/>
        </w:rPr>
        <w:t>E. 7.10</w:t>
      </w:r>
    </w:p>
    <w:p>
      <w:r>
        <w:t>Die Beschwerde ist daher abzuweisen.</w:t>
      </w:r>
    </w:p>
    <w:p>
      <w:r>
        <w:rPr>
          <w:b/>
        </w:rPr>
        <w:t>E. 8</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400.- festzusetzen, dem Beschwerdeführer als unterlegene Partei aufzuerlegen und mit dem von ihm am 9. Juni 2008 geleisteten Kostenvorschuss von Fr. 400.- zu verrechnen.</w:t>
      </w:r>
    </w:p>
    <w:p>
      <w:r>
        <w:rPr>
          <w:b/>
        </w:rPr>
        <w:t>E. 9</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