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C-1559/2011 vom 13. Juni 2012</w:t>
      </w:r>
    </w:p>
    <w:p>
      <w:r>
        <w:t>Bundesverwaltungsgericht, 2012-06-13, DE</w:t>
      </w:r>
    </w:p>
    <w:p>
      <w:r>
        <w:rPr>
          <w:b/>
        </w:rPr>
        <w:t xml:space="preserve">Quelle: </w:t>
      </w:r>
      <w:r>
        <w:t>https://mcp.opencaselaw.ch/entscheid/bvger_C-1559_2011</w:t>
      </w:r>
    </w:p>
    <w:p>
      <w:r>
        <w:t>FR: TAF C-1559/2011 du 13 juin 2012</w:t>
      </w:r>
    </w:p>
    <w:p>
      <w:r>
        <w:t>IT: TAF C-1559/2011 del 13 giugno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Die Vorinstanz begründet das verhängte Einreiseverbot damit, dass sich die Beschwerdeführerin über den bewilligungsfrei maximal zulässigen Zeitraum hinaus in der Schweiz aufgehalten habe und zudem einer Erwerbstätigkeit nachgegangen sei, ohne über die dazu erforderliche Bewilligung zu verfügen. Damit beruft sich die Vorinstanz auf Fernhaltegründe im Sinne von Art. 67 Abs. 2 Bst. a des Ausländergesetzes vom 16. Dezember 2005 (AuG, SR 142.20).</w:t>
      </w:r>
    </w:p>
    <w:p>
      <w:r>
        <w:rPr>
          <w:b/>
        </w:rPr>
        <w:t>E. 3.2</w:t>
      </w:r>
    </w:p>
    <w:p>
      <w:r>
        <w:t>Gestützt auf Art. 67 Abs. 2 AuG kann gegenüber ausländischen Personen ein Einreiseverbot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(siehe Botschaft zum Bundesgesetz über die Ausländerinnen und Ausländer vom 8. März 2002 [nachfolgend: Botschaft], BBl 2002 3809; vgl. auch Rainer J. Schweizer / Patrick Sutter / 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daher Anlass für die Verhängung eines Einreiseverbots geben.</w:t>
      </w:r>
    </w:p>
    <w:p>
      <w:r>
        <w:rPr>
          <w:b/>
        </w:rPr>
        <w:t>E. 3.4</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4.1</w:t>
      </w:r>
    </w:p>
    <w:p>
      <w:r>
        <w:t>Am 30. November 2009 hat der Rat der Justiz-und Innenminister der Europäischen Union beschlossen, die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anzupassen und damit die Liste derjenigen Länder, welche für den kurzfristigen Aufenthalt im Schengen-Raum von der Visumspflicht befreit sind, zu ergänzen. Die entsprechend angepasste Verordnung, welche für sämtliche Schengen-Mitglied­staaten und somit auch für die Schweiz verbindlich ist, gilt seit dem 19. De­zem­ber 2009. Neu sind seither auch Staatsangehörige aus Maze­donien, Montenegro und Serbien für einen kurzfristigen Aufenthalt im Schengen-Raum (maximal 90 Tage innerhalb einer Halbjahresperiode) von der Visumspflicht befreit, unter der Voraussetzung, dass sie Inhaber eines biometrischen Passes sind und während ihres Aufenthalts keine Erwerbstätigkeit ausüben.</w:t>
      </w:r>
    </w:p>
    <w:p>
      <w:r>
        <w:rPr>
          <w:b/>
        </w:rPr>
        <w:t>E. 4.2</w:t>
      </w:r>
    </w:p>
    <w:p>
      <w:r>
        <w:t>Ob die Beschwerdeführerin über einen biometrischen Reisepass verfügte, ist aus den Akten nicht ersichtlich. Im Rapport der Kantonspolizei Zürich vom 9. Februar 2011 ist dazu festgehalten, dass sich die Beschwerdeführerin nur mit Kopien aus einem serbischen Reisepass ausweisen konnte und behauptete, das Originaldokument verloren zu haben. Die Beschwerdeführerin kann sich aber schon aus andern Gründen - auf die im Folgenden näher einzugehen ist - nicht auf eine Befreiung von der Visumspflicht berufen.</w:t>
      </w:r>
    </w:p>
    <w:p>
      <w:r>
        <w:rPr>
          <w:b/>
        </w:rPr>
        <w:t>E. 5.1</w:t>
      </w:r>
    </w:p>
    <w:p>
      <w:r>
        <w:t>Ein mit Erwerbstätigkeit verbundener Aufenthalt in der Schweiz untersteht grundsätzlich und ungeachtet seiner Dauer der Bewilligungspflicht (Art. 11 Abs. 1 AuG). Etwas anderes gilt gestützt auf Art. 14 Abs. 1 und 3 VZAE nur hinsichtlich ausländischer Personen, die eine grenzüberschreitende Dienstleistung erbringen oder die im Auftrag eines ausländischen Arbeitgebers vorübergehend in der Schweiz erwerbstätig sind (Erwerbstätigkeit ohne Stellenantritt), sofern diese Tätigkeit nicht länger als acht Tage innerhalb eines Kalenderjahrs dauert und ihrer Art nach nicht vom Ausschlusskatalog des Art. 14 Abs. 3 VZAE erfasst wird. Der Begriff der Erwerbstätigkeit ist dabei weit auszulegen; als Erwerbstätigkeit gilt jede normalerweise gegen Entgelt ausgeübte un­selbständige oder selbstständige Tätigkeit, selbst wenn sie entschädigungslos erbracht wird (vgl. Art. 11 Abs. 2 AuG). Ohne Belang für die Qualifikation einer Betätigung als Erwerbstätigkeit ist, in welchem zeitlichen Ausmass sie ausgeübt wird. Das wird in Art. 1a Abs. 1 VZAE ausdrücklich für die unselbständige Erwerbstätigkeit festgehalten, gilt jedoch allgemein.</w:t>
      </w:r>
    </w:p>
    <w:p>
      <w:r>
        <w:rPr>
          <w:b/>
        </w:rPr>
        <w:t>E. 5.2</w:t>
      </w:r>
    </w:p>
    <w:p>
      <w:r>
        <w:t>Im Strafbefehl vom 9. Feb­ruar 2011 wurde als erstellt erachtet, dass die Beschwerdeführerin spätestens ab 1. November 2010 bis zu ihrer Anhaltung am 9. Februar 2011 bei der Schwester ihres Freundes als Kindermädchen und Haushaltshilfe gearbeitet hatte, indem sie deren drei Kinder beaufsichtigt, gekocht und gereinigt hatte. Es steht ausser Frage, dass die Beschwerdeführerin damit eine Erwerbstätigkeit im Sinne von Art. 11 Abs. 2 AuG ausübte. Über die notwendige Bewilligung verfügte sie jedoch nicht. Ihr muss daher mit der Vorinstanz rechtswidrige Erwerbstätigkeit vorgehalten werden.</w:t>
      </w:r>
    </w:p>
    <w:p>
      <w:r>
        <w:rPr>
          <w:b/>
        </w:rPr>
        <w:t>E. 5.3</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VZAE). Die Einreisevoraussetzungen nach Art. 5 AuG müssen während des gesamten bewilligungsfreien Aufenthalts erfüllt sein (Art. 9 Abs. 2 VZAE). An die Höchstaufenthaltsdauer von drei Monaten anrechenbar sind dabei Aufenthalte in der Schweiz und im übrigen Schengen-Raum. Das ergibt sich aus dem Vorrang des Schengen-Rechts (Art. 2 Abs. 4 AuG) und der Tatsache, dass sich im Anwendungsbereich des Schengen-Rechts von der Visumspflicht befreite Drittausländer höchstens drei Monate innerhalb einer Frist von sechs Monaten vom Datum der ersten Einreise an im Hoheitsgebiet der Schengen-Staaten frei bewegen dürfen, und auch das nur, wenn und solange sie die Einreisevoraussetzungen des Art. 5 Abs. 1 SGK erfüllen (Art. 20 Abs. 1 SDÜ).</w:t>
      </w:r>
    </w:p>
    <w:p>
      <w:r>
        <w:rPr>
          <w:b/>
        </w:rPr>
        <w:t>E. 5.3.1</w:t>
      </w:r>
    </w:p>
    <w:p>
      <w:r>
        <w:t>Im vorerwähnten Strafbefehl erachtete die Strafbefehlsrichterin es als erstellt, dass die Beschwerdeführerin spätestens am 12. Oktober 2010 in die Schweiz eingereist war und sich mit einer einmaligen, 10-tägigen Unterbrechung bis zu ihrer Anhaltung am 9. Februar 2011 hier aufgehalten hatte. Dieser Sachverhalt kann mit dem im Beschwerdeverfahren erhobenen vagen Einwand, wonach der Aufenthalt in der Schweiz nach Auskunft von Verwandten mehrfach unterbrochen worden sei, dies aber im Detail nicht mehr rekonstruiert werden könne, nicht in Frage gestellt werden. Dafür wäre die Beschwerdeführerin beweispflichtig gewesen.</w:t>
      </w:r>
    </w:p>
    <w:p>
      <w:r>
        <w:rPr>
          <w:b/>
        </w:rPr>
        <w:t>E. 5.3.2</w:t>
      </w:r>
    </w:p>
    <w:p>
      <w:r>
        <w:t>Im Übrigen ist daran zu erinnern, dass die Beschwerdeführerin im November 2010 eine Erwerbstätigkeit aufgenommen hat und sich ihr Aufenthalt in der Schweiz schon ab diesem Zeitpunkt als rechtswidrig erwies.</w:t>
      </w:r>
    </w:p>
    <w:p>
      <w:r>
        <w:rPr>
          <w:b/>
        </w:rPr>
        <w:t>E. 5.3.3</w:t>
      </w:r>
    </w:p>
    <w:p>
      <w:r>
        <w:t>Im Sinne eines Zwischenergebnisses ist somit festzustellen, dass die Beschwerdeführerin durch Erwerbstätigkeit ohne Bewilligung und rechtswidrigen Aufenthalt Fernhaltegründe nach Art. 67 Abs. 2 Bst. a AuG gesetzt hat.</w:t>
      </w:r>
    </w:p>
    <w:p>
      <w:r>
        <w:rPr>
          <w:b/>
        </w:rPr>
        <w:t>E. 6</w:t>
      </w:r>
    </w:p>
    <w:p>
      <w:r>
        <w:t>Es bleibt zu prüfen, ob die gegen die Beschwerdeführerin angeordnete Massnahme in richtiger Ausübung des Ermessens ergangen und angemessen ist. Dem Grundsatz der Verhältnismässigkeit kommt dabei vorrangige Bedeutung zu.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 St. Gallen 2010, Rz. 613 ff.).</w:t>
      </w:r>
    </w:p>
    <w:p>
      <w:r>
        <w:rPr>
          <w:b/>
        </w:rPr>
        <w:t>E. 6.1</w:t>
      </w:r>
    </w:p>
    <w:p>
      <w:r>
        <w:t>An der Einhaltung der ausländerrechtlichen Ordnung im Allgemeinen und der Vorschriften über Einreise, Aufenthalt und Erwerbstätigkeit im Besonderen besteht ein gewichtiges öffentliches Interesse. Das Einreiseverbot wirkt hier einerseits präventiv, indem es andere Ausländerinnen und Ausländer angesichts der nachteiligen Folgen dazu anhält, sich an die ausländerrechtliche 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(vgl. anstelle vieler Urteil des Bundesverwaltungsgerichts C-7543/2007 vom 18. März 2008 E. 7.2 mit Hinweisen).</w:t>
      </w:r>
    </w:p>
    <w:p>
      <w:r>
        <w:rPr>
          <w:b/>
        </w:rPr>
        <w:t>E. 6.2</w:t>
      </w:r>
    </w:p>
    <w:p>
      <w:r>
        <w:t>Das Fehlverhalten der Beschwerdeführerin wiegt objektiv schwer. Sie ist - als Besucherin eingereist - während mehr als drei Monaten einer bewilligungspflichtigen Erwerbstätigkeit nachgegangen. Damit hat sie über beachtliche Zeit hinweg ausländerrechtliche Normen missachtet, denen im Interesse einer funktionierenden Rechtsordnung eine zentrale Bedeutung zukommt.</w:t>
      </w:r>
    </w:p>
    <w:p>
      <w:r>
        <w:rPr>
          <w:b/>
        </w:rPr>
        <w:t>E. 6.3</w:t>
      </w:r>
    </w:p>
    <w:p>
      <w:r>
        <w:t>Aber auch in subjektiver Hinsicht kann nicht von geringfügigen Verfehlungen der Beschwerdeführerin ausgegangen werden. Die Strafbefehlsrichterin hat vorsätzliches Handeln bejaht. Aus den Akten der Strafermittlungsbehörde kann denn auch ohne weiteres geschlossen werden, dass sich die Beteiligten bei Aufnahme der Erwerbstätigkeit über die Bewilligungspflicht im Klaren waren. Die Beschwerdeführerin selbst stritt zwar in den Einvernahmen alles ab. Die Schwester ihres Freundes hingegen gestand ein, dass die kurze Unterbrechung des Aufenthalts in der Schweiz eine Reise nach Belgrad beinhaltet habe, wo die Beschwerdeführerin erfolglos versucht habe, einen kroatischen Reisepass erhältlich zu machen. Mit einem solchen Pass hätte dann eine Au-pair-Bewilligung erwirkt werden sollen. Zurück in der Schweiz, wurde die Erwerbstätigkeit dennoch weitergeführt bis zur Anhaltung am 9. Februar 2011. Im Übrigen setzt die Verhängung einer Fernhaltemassnahme wegen Missachtung ausländerrechtlicher Bestimmungen kein vorsätzliches Verhalten voraus. Es genügt, wenn der ausländischen Person eine Sorgfaltspflichtverletzung zugerechnet werden kann. Die Sorgfaltspflicht gebietet konkret, dass sich eine ausländische Person aktiv und rechtzeitig über die sie betreffenden ausländerrechtlichen Vorschriften ins Bild setzt (vgl. anstelle vieler Urteil des Bundesverwaltungsgerichts C-4639/2010 vom 15. Februar 2011 E. 5.3 mit Hinweis).</w:t>
      </w:r>
    </w:p>
    <w:p>
      <w:r>
        <w:rPr>
          <w:b/>
        </w:rPr>
        <w:t>E. 6.4</w:t>
      </w:r>
    </w:p>
    <w:p>
      <w:r>
        <w:t>Dem öffentlichen Interesse an einer Fernhaltung gegenüber beruft sich die Beschwerdeführerin auf ihre Absicht, hier in der Schweiz ihren Freund zu heiraten. Schon die Vorbereitungen dieser Hochzeit würden mehrere Einreisen in die Schweiz bedingen. Zu Recht macht die Beschwerdeführerin nicht geltend, sie habe einen Anspruch auf Eheschliessung in der Schweiz bzw. sie könne nur hier heiraten. Im Übrigen trifft nicht einmal zu, dass die bestehende Fernhaltemassnahme eine Heirat in der Schweiz von vornherein ausschliesst. Es steht der Beschwerdeführerin frei, mit diesem Anliegen und entsprechender Begründung an die Vorinstanz zu gelangen und um zeitweise Aussetzung des Einreiseverbots zu ersuchen (Art. 67 Abs. 5 in fine AuG; vgl. zum Ganzen Urteil des Bundesverwaltungsgerichts C-534/2010 vom 24. November 2011, E. 6 mit Hinweisen).</w:t>
      </w:r>
    </w:p>
    <w:p>
      <w:r>
        <w:rPr>
          <w:b/>
        </w:rPr>
        <w:t>E. 6.5</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w:t>
      </w:r>
    </w:p>
    <w:p>
      <w:r>
        <w:rPr>
          <w:b/>
        </w:rPr>
        <w:t>E. 7</w:t>
      </w:r>
    </w:p>
    <w:p>
      <w:r>
        <w:t>Die Vorinstanz hat mit der angefochtenen Verfügung Bundesrecht nicht verletzt und den rechtserheblichen Sachverhalt richtig und vollständig festgestellt. Die Verfügung ist auch angemessen (Art. 49 VwVG). Die Beschwerde ist daher abzuweisen.</w:t>
      </w:r>
    </w:p>
    <w:p>
      <w:r>
        <w:rPr>
          <w:b/>
        </w:rPr>
        <w:t>E. 8</w:t>
      </w:r>
    </w:p>
    <w:p>
      <w:r>
        <w:t>Entsprechend dem Ausgang des Verfahrens sind der Beschwerdeführerin die Kosten aufzuerlegen (Art. 63 Abs. 1 VwVG i.V.m. Art. 1, Art. 2 und Art. 3 Bst. b des Reglements vom 21. Februar 2008 über die Kosten und Entschädigungen vor dem Bundesverwaltungsgericht).</w:t>
      </w:r>
    </w:p>
    <w:p>
      <w:r>
        <w:rPr>
          <w:b/>
        </w:rPr>
        <w:t>E. 9</w:t>
      </w:r>
    </w:p>
    <w:p>
      <w:r>
        <w:t>Das Bundesverwaltungsgericht entscheidet in vorliegender Sache endgültig (vgl. Art. 83 Bst. c Ziff. 1 des Bundesgerichtsgesetzes vom 17. Juni 2005 [BGG, SR 173.110]).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