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C-1545/2010 vom 12. Juni 2013</w:t>
      </w:r>
    </w:p>
    <w:p>
      <w:r>
        <w:t>Bundesverwaltungsgericht, 2013-06-12, DE</w:t>
      </w:r>
    </w:p>
    <w:p>
      <w:r>
        <w:rPr>
          <w:b/>
        </w:rPr>
        <w:t xml:space="preserve">Quelle: </w:t>
      </w:r>
      <w:r>
        <w:t>https://mcp.opencaselaw.ch/entscheid/bvger_C-1545_2010</w:t>
      </w:r>
    </w:p>
    <w:p>
      <w:r>
        <w:t>FR: TAF C-1545/2010 du 12 juin 2013</w:t>
      </w:r>
    </w:p>
    <w:p>
      <w:r>
        <w:t>IT: TAF C-1545/2010 del 12 giugno 2013</w:t>
      </w:r>
    </w:p>
    <w:p>
      <w:pPr>
        <w:pStyle w:val="Heading2"/>
      </w:pPr>
      <w:r>
        <w:t>Regeste</w:t>
      </w:r>
    </w:p>
    <w:p>
      <w:r>
        <w:t>nach Auflösung der Familiengemeinschaft</w:t>
      </w:r>
    </w:p>
    <w:p>
      <w:pPr>
        <w:pStyle w:val="Heading2"/>
      </w:pPr>
      <w:r>
        <w:t>Erwägungen</w:t>
      </w:r>
    </w:p>
    <w:p>
      <w:r>
        <w:rPr>
          <w:b/>
        </w:rPr>
        <w:t>E. 8</w:t>
      </w:r>
    </w:p>
    <w:p>
      <w:r>
        <w:t>Der Beschwerdeführer bringt weiter vor, eine Wegweisung würde sein Recht auf Privatleben gemäss Art. 8 Ziff 1 EMRK (bzw. Art. 13 Abs. 1 BV) tangieren, da er sich bereits seit zwei Jahrzehnten in der Schweiz aufhalte. Nach der bundesgerichtlichen Rechtsprechung kommt diesem Recht in ausländerrechtlichen Fällen zwar eine selbstständige Auffangfunktion gegenüber dem engeren, das Familienleben betreffenden Schutzbereich zu; das Bundesgericht hat diesbezüglich allerdings festgehalten, dass es hierfür besonders intensiver, über eine normale Integration hinausgehender privater Bindungen gesellschaftlicher oder beruflicher Natur bzw. entsprechender vertiefter sozialer Beziehungen zum ausserfamiliären bzw. ausserhäuslichen Bereich bedürfe (vgl. BGE 130 II 281 E. 3.2.1 S. 286 mit Hinweisen). Das Bundesgericht hat es abgelehnt, schematisch von einer bestimmten Aufenthaltsdauer an eine solche besondere, einen Anspruch auf die Erteilung eines Anwesenheitsrechts begründende Verwurzelung in den hiesigen Verhältnissen anzunehmen; die Aufenthaltsdauer bildet in diesem Zusammenhang nur ein Element unter anderen. Bei längeren Anwesenheiten, welche mit keiner überdurchschnittlichen Verbundenheit mit den hiesigen Verhältnissen einhergegangen sind, hat das Bundesgericht das Bestehen eines Aufenthaltsanspruchs direkt gestützt aus Art. 8 EMRK bzw. Art. 13 BV wiederholt verneint (vgl. zum Ganzen Urteil des Bundesgerichts 2C_25/2012 vom 17. Januar 2012 E. 3.1). Auch wenn sich der Beschwerdeführer seit Februar 1988 möglicherweise ununterbrochen in der Schweiz befindet, vermochte er sich weder in beruflicher noch in sozialer Hinsicht erfolgreich zu integrieren. Fraglos kann im Lichte der beschriebenen Praxis daher nicht von einer derart starken Verbundenheit gesprochen werden, die einen entsprechenden Aufenthaltsanspruch zu begründen vermöchte. 9.Anspruchsbegründend können aber auch sonstige wichtige persönliche Gründe sein, da Art. 50 Abs. 1 Bst. b AuG bewusst auf eine abschliessende Aufzählung der Gründe verzichtet. Auch die in Art. 31 Abs. 1 VZAE genannten, aber nicht erschöpfenden Kriterien können für die Beurteilung eines Härtefalls herangezogen werden (BGE 137 II 345 E. 3.2.3). Ausdrücklich werden dort aufgeführt: die Integration (Bst. a), die Respektierung der Rechtsordnung (Bst. b), die Familienverhältnisse (Bst. c), die finanziellen Verhältnisse sowie der Wille zur Teilhabe am Wirtschaftsleben und zum Erwerb von Bildung (Bst. d), die Dauer der Anwesenheit (Bst. e), der Gesundheitszustand (Bst. f) und die Möglichkeiten der Wiedereingliederung im Herkunftsland (Bst. g). 9.1 Aufgrund der bisherigen Erwägungen fallen die unter Art. 31 Abs. 1 Bst. a - d VZAE aufgeführten Kriterien von vornherein nicht zugunsten des Beschwerdeführers in Betracht. Aber auch aus den weiteren Aspekten (Bst. e - g ) lässt sich nicht ableiten, dass sich der Beschwerdeführer in einer Härtefallsituation befindet, welche die Verlängerung seiner Aufenthaltsbewilligung erfordern würde. Trotz seiner gesundheitlichen Probleme wurde dem Beschwerdeführer während langer Zeit 100-prozentige Arbeitsfähigkeit attestiert. Laut Arztbericht wären dem Beschwerdeführer leichte Arbeiten durchaus zumutbar. Die Behandlung seiner Krankheit ist in seinem Heimatland sichergestellt und das Medikament Marcoumar ist erhältlich und erschwinglich. Die Dauer der bisherigen Anwesenheit fällt zwar mit inzwischen rund 25 Jahren nicht mehr kurz aus, kann aber für sich alleine nicht entscheidend sein. Eine Rückkehr erscheint dennoch zumutbar, zumal er erst im Alter von 21 Jahren in die Schweiz einreiste und sprachlich und kulturell nach wie vor mit den Gepflogenheiten des Herkunftsstaates vertraut ist. 10.Der Beschwerdeführer besitzt somit weder gestützt auf Art. 50 Abs. 1 Bst. a AuG (dreijährige Ehegemeinschaft und erfolgreiche Integration) noch gestützt auf Art. 50 Abs. 1 Bst. b AuG (wichtige persönliche Gründe) einen Anspruch auf Verlängerung der Aufenthaltsbewilligung. Dafür, dass die Vorinstanz innerhalb des Beurteilungsspielraums der Art. 18 - 30 AuG einen fehlerhaften Ermessensentscheid getroffen haben könnte, bestehen keine Anhaltspunkte insbesondere wäre in diesem Rahmen auch keine Härtefallregelung nach Art. 30 Abs. 1 Bst. b AuG in Betracht gekommen (vgl. in diesem Zusammenhang Urteil des Bundesgerichts 2C_365/2010 vom 22. Juni 2011 E. 3.6 und 3.7). Dass die Vorinstanz die Zustimmung zur Verlängerung der Aufenthaltsbewilligung verweigert hat, kann daher nicht beanstandet werden. 11.Als gesetzliche Folge der nicht mehr verlängerten Aufenthaltsbewilligung hat der Beschwerdeführer die Schweiz zu verlassen (Art. 64 Abs. 1 Bst. c AuG). Es bleibt aber zu prüfen, ob Hinderungsgründe für den Vollzug der Wegweisung anzunehmen sind (Art. 83 Abs. 2 - 4 AuG) und das BFM gestützt hierauf die vorläufige Aufnahme hätte verfügen müssen. 11.1 Die Möglichkeit und Zulässigkeit des Wegweisungsvollzugs stehen im vorliegenden Fall ausser Frage. Demzufolge wäre allenfalls relevant, ob die zwangsweise Rückkehr für den Beschwerdeführer eine konkrete Gefährdung mit sich brächte und damit nicht zumutbar wäre. Der Wegweisungsvollzug kann für die betroffene Person unzumutbar sein, wenn sie in ihrem Heimat- oder Herkunftsstaat Situationen wie Krieg, Bürgerkrieg, allgemeiner Gewalt oder einer medizinischen Notlage ausgesetzt wäre. Wirtschaftliche Schwierigkeiten, von welchen die ansässige Bevölkerung regelmässig betroffen ist, wie Wohnungsnot oder ein schwieriger Arbeitsmarkt, vermögen jedoch keine konkrete Gefährdung zu begründen. Dagegen ist der Vollzug der Wegweisung nicht zumutbar, wenn dieser für die ausländische Person höchstwahrscheinlich zu einer existenziellen Bedrohung führen würde, beispielsweise dann, wenn sie sich nach ihrer Rückkehr mit völliger Armut, Hunger, Invalidität oder Tod konfrontiert sähe (vgl. Urteil des Bundesverwaltungsgerichts C-712/2010 vom 19. August 2011 E. 9.2 mit Hinweisen). 11.2 Der Beschwerdeführer hat sich nicht zur Zumutbarkeit des Wegweisungsvollzug geäussert. Auch die vorliegenden Akten lassen nicht darauf schliessen, dass die Wegweisung für ihn zu einer existenzbedrohenden Situation führen könnte. Die medizinische Versorgung ist - wie bereits andernorts erwähnt - gewährleistet. Der Beschwerdeführer muss zwar in Kauf nehmen, dass die wirtschaftlichen und sozialen Bedingungen in seinem Heimatland nicht denen der Schweiz entsprechen dies ist jedoch, wie dargelegt, unbeachtlich. Der Vollzug seiner Wegweisung ist damit als zumutbar zu erachten. 12.Demzufolge ist die angefochtene Verfügung im Lichte von Art. 49 VwVG nicht zu beanstanden. Die Beschwerde ist deshalb abzuweisen. 13.Da dem Beschwerdeführer die unentgeltliche Rechtspflege samt Rechtsverbeiständung gewährt wurde, ist er davon befreit, für die entstandenen Verfahrenskosten aufzukommen. Aus demselben Grund sind die notwendigen Kosten der Rechtsvertretung von der erkennenden Instanz zu übernehmen. In Anwendung von Art. 12 i.V.m. Art. 8 ff. des Reglements vom 21. Februar 2008 über die Kosten und Entschädigungen vor dem Bundesverwaltungsgericht (VGKE, SR 173.320.2) ist daher eine Entschädigung von Fr. 1'800.-- (inkl. MwSt) auszurichten. Dieser Betrag wird den beiden Rechtsvertreter entsprechend ihrem Aufwand anteilsmässig zugesprochen (RA Nüssle Fr. 1'500.--, RA Ebnöter Fr. 300.--). Sollte der Beschwerdeführer später zu hinreichenden Mitteln gelangen, ist dieser Betrag dem Bundesverwaltungsgericht zurückzuerstatten (Art. 65 Abs. 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