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C-1531/2008 vom 16. November 2009</w:t>
      </w:r>
    </w:p>
    <w:p>
      <w:r>
        <w:t>Bundesverwaltungsgericht, 2009-11-16, DE</w:t>
      </w:r>
    </w:p>
    <w:p>
      <w:r>
        <w:rPr>
          <w:b/>
        </w:rPr>
        <w:t xml:space="preserve">Quelle: </w:t>
      </w:r>
      <w:r>
        <w:t>https://mcp.opencaselaw.ch/entscheid/bvger_C-1531_2008</w:t>
      </w:r>
    </w:p>
    <w:p>
      <w:r>
        <w:t>FR: TAF C-1531/2008 du 16 novembre 2009</w:t>
      </w:r>
    </w:p>
    <w:p>
      <w:r>
        <w:t>IT: TAF C-1531/2008 del 16 novembre 2009</w:t>
      </w:r>
    </w:p>
    <w:p>
      <w:pPr>
        <w:pStyle w:val="Heading2"/>
      </w:pPr>
      <w:r>
        <w:t>Regeste</w:t>
      </w:r>
    </w:p>
    <w:p>
      <w:r>
        <w:t>Rente</w:t>
      </w:r>
    </w:p>
    <w:p>
      <w:pPr>
        <w:pStyle w:val="Heading2"/>
      </w:pPr>
      <w:r>
        <w:t>Erwägungen</w:t>
      </w:r>
    </w:p>
    <w:p>
      <w:r>
        <w:rPr>
          <w:b/>
        </w:rPr>
        <w:t>E. 1</w:t>
      </w:r>
    </w:p>
    <w:p>
      <w:r>
        <w:t>Angefochten ist der Einspracheentscheid vom 6. Februar 2008 der SAK, mit dem die Verfügung vom 19. Juli 2007 bestätigt wurde, wonach die Beschwerdeführerin keinen Anspruch auf eine Witwenrente hat.</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sie einzutreten.</w:t>
      </w:r>
    </w:p>
    <w:p>
      <w:r>
        <w:rPr>
          <w:b/>
        </w:rPr>
        <w:t>E. 2</w:t>
      </w:r>
    </w:p>
    <w:p>
      <w:r>
        <w:t>Das Verfahren vor dem Bundesverwaltungsgericht richtet sich im Wesentlichen nach den Vorschriften des VGG, des ATSG sowie des VwVG (vgl. E. 1.2 hiervor). Dabei finden nach den allgemeinen intertemporalrechtlichen Regeln diejenigen Rechtssätze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3</w:t>
      </w:r>
    </w:p>
    <w:p>
      <w:r>
        <w:t>Zu prüfen ist im Folgenden, ob die Beschwerdeführerin als Witwe des Versicherten Anspruch auf eine Hinterlassenenrente (Witwenrente) hat.</w:t>
      </w:r>
    </w:p>
    <w:p>
      <w:r>
        <w:rPr>
          <w:b/>
        </w:rPr>
        <w:t>E. 3.1</w:t>
      </w:r>
    </w:p>
    <w:p>
      <w:r>
        <w:t>Anspruch auf eine Witwen- oder Witwerrente haben Witwen oder Witwer, sofern sie im Zeitpunkt der Verwitwung Kinder haben (Art. 23 AHVG). Witwen haben überdies Anspruch auf eine Witwenrente, wenn sie im Zeitpunkt der Verwitwung keine Kinder oder Pflegekinder im Sinne von Art. 23 AHVG haben, jedoch das 45. Altersjahr vollendet haben und mindestens fünf Jahre verheiratet gewesen sind (Art. 24 Abs. 1 AHVG). Den Kindern von Witwen und Witwern gleichgestellt sind Kinder des verstorbenen Ehegatten, die im Zeitpunkt der Verwitwung mit der Witwe oder dem Witwer im gemeinsamen Haushalt leben und von ihr oder ihm als Pflegekinder im Sinne von Art. 25 Abs. 3 aufgenommen werden (Art. 23 Abs. 2 Bst. a AHVG) oder Pflegekinder im Sinne von Art. 25 Abs. 3, die im Zeitpunkt der Verwitwung mit der Witwe oder dem Witwer im gemeinsamen Haushalt leben und von ihr oder ihm adoptiert werden (Art. 23 Abs. 2 Bst. b AHVG).</w:t>
      </w:r>
    </w:p>
    <w:p>
      <w:r>
        <w:rPr>
          <w:b/>
        </w:rPr>
        <w:t>E. 3.2</w:t>
      </w:r>
    </w:p>
    <w:p>
      <w:r>
        <w:t>Die Beschwerdeführerin, die keine gemeinsamen Kinder mit ihrem verstorbenen Ehemann hatte, war im Zeitpunkt seines Todes 35 Jahre alt und seit 3 Jahren verheiratet. Unter diesen Umständen hat sie keinen Anspruch auf eine Witwenrente gestützt auf Art. 24 Abs. 1 AHVG. Zu prüfen ist daher im Folgenden, ob der Sohn des verstorbenen Ehegatten als Pflegekind im Sinne von Art. 23 Abs. 2 Bst. a AHVG zu betrachten ist, wie dies die Beschwerdeführerin geltend macht. Art. 23 Abs. 2 Bst. a und b AHVG verweisen für die Definition des Begriffs Pflegekinder auf Art. 25 Abs. 3 AHVG, gemäss dem der Bundesrat den Anspruch der Pflegekinder auf Waisenrente regelt. Gestützt auf diese Delegationsnorm hat der Bundesrat in Art. 46 Abs. 2 der Verordnung vom 31. Oktober 1947 über die Alters- und Hinterlassenenversicherung (AHVV, SR 831.101) festgelegt, dass als Pflegekinder im Sinne von Art. 23 Abs. 2 Bst. b AHVG Kinder gelten, denen beim Tod der Pflegemutter oder des Pflegevaters eine Waisenrente nach Art. 49 zustehen würde. In gleicher Weise ist auch der Begriff des Pflegekindes in Art. 23 Abs. 2 Bst. a AHVG auszulegen. Gemäss Art. 49 Abs. 1 AHVV haben Pflegekinder beim Tod der Pflegeeltern Anspruch auf eine Waisenrente nach Art. 25 AHVG, wenn sie unentgeltlich zu dauernder Pflege und Erziehung aufgenommen worden sind.</w:t>
      </w:r>
    </w:p>
    <w:p>
      <w:r>
        <w:rPr>
          <w:b/>
        </w:rPr>
        <w:t>E. 3.3</w:t>
      </w:r>
    </w:p>
    <w:p>
      <w:r>
        <w:t>Im vorliegenden Fall geht es allerdings nicht um die Prüfung des Anspruchs auf eine Waisenrente, da der leibliche Sohn des verstorbenen Ehegatten zweifellos Anspruch auf eine solche hat (vgl. Art. 25 Abs. 1 AHVG); vielmehr ist zu untersuchen, ob zwischen der Beschwerdeführerin und dem leiblichen Sohn ihres verstorbenen Ehemannes ein Pflegeverhältnis bestand und besteht, welches den Anspruch auf die Ausrichtung einer Witwenrente entstehen lässt. Auch in diesem Fall sind die Kriterien der Unentgeltlichkeit und der dauernden Pflege und Erziehung heranzuziehen.</w:t>
      </w:r>
    </w:p>
    <w:p>
      <w:r>
        <w:rPr>
          <w:b/>
        </w:rPr>
        <w:t>E. 4</w:t>
      </w:r>
    </w:p>
    <w:p>
      <w:r>
        <w:t>Eine Pflegekindschaft im weiten Sinne liegt vor, wenn ein Unmündiger in der Obhut von Personen lebt, die nicht seine Eltern sind. Sie ist kein selbstständiges Rechtsinstitut, sondern ein faktisches Familienverhältnis, dem das Recht einzelne Wirkungen des Kindesverhältnisses beilegt (vgl. Urteil des Eidgenössischen Versicherungsgerichts [EVG, heute Bundesgericht] H 123/02 vom 24. Februar 2003 E. 2).</w:t>
      </w:r>
    </w:p>
    <w:p>
      <w:r>
        <w:rPr>
          <w:b/>
        </w:rPr>
        <w:t>E. 4.1</w:t>
      </w:r>
    </w:p>
    <w:p>
      <w:r>
        <w:t>Nach der Rechtsprechung gilt als Pflegekind im Sinne von Art. 49 AHVV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die gewöhnlich den leiblichen Eltern zufallen, auf die Pflegeeltern; auf den Grund der Übertragung kommt es nicht an. Welche Aufgaben und Verpflichtungen den Pflegeeltern, namentlich in finanzieller Hinsicht, zufallen, lässt sich nicht allgemein sagen, sondern hängt vielmehr von der gesamten Ausgestaltung des fraglichen Verhältnisses ab (Urteil des EVG H 123/02 vom 24. Februar 2003 E. 2; ZAK 1992 S. 124 Erw. 3b; je mit Hinweisen). Nach der Verwaltungspraxis muss zwischen Pflegekind und Pflegeeltern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ob die Pflegeeltern mit dem Pflegekind verwandt sind oder nicht (Rz. 3207 der Wegleitung des Bundesamtes für Sozialversicherungen vom 1. Januar 2003 über die Renten [RWL]). Das Pflegeverhältnis muss ferner auf Dauer begründet worden sein, wobei nicht erforderlich ist, dass es vor dem Rentenfall schon bestimmte Zeit gedauert hat. Nach dem Tode eines Pflegeelternteils muss der überlebende Teil das Pflegeverhältnis allerdings unbefristet fortsetzen.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(Rz. 3315 f. RWL).</w:t>
      </w:r>
    </w:p>
    <w:p>
      <w:r>
        <w:rPr>
          <w:b/>
        </w:rPr>
        <w:t>E. 4.2</w:t>
      </w:r>
    </w:p>
    <w:p>
      <w:r>
        <w:t>Die Frage der Entgeltlichkeit eines Pflegeverhältnisses regelt Art. 294 des Schweizerischen Zivilgesetzbuchs vom 10. Dezember 1907 (ZGB, SR 210; vgl. ALFRED MAURER/GUSTAVO SCARTAZZINI/MARC HÜRZELER, Bundessozialversicherungsrecht, 3. Aufl., Basel 2009, § 11, Rz. 78, Fn. 61). Danach haben Pflegeeltern Anspruch auf ein angemessenes Pflegegeld, sofern nichts Abweichendes vereinbart ist oder sich eindeutig aus den Umständen ergibt (Art. 294 Abs. 1 ZGB). Unentgeltlichkeit ist allerdings zu vermuten, wenn Kinder von nahen Verwandten oder zum Zweck späterer Adoption aufgenommen werden (Art. 294 Abs. 2 ZGB). Im Sozialversicherungsrecht gilt ein Pflegeverhältnis auch dann noch als unentgeltlich, wenn die an die Pflegeeltern für das Kind von dritter Seite erbrachten Leistungen weniger als einen Viertel der tatsächlichen Unterhaltskosten decken (Rz. 3310 RWL; mit Verweis auf ZAK 1958 S. 335; ZAK 1973 S. 573).</w:t>
      </w:r>
    </w:p>
    <w:p>
      <w:r>
        <w:rPr>
          <w:b/>
        </w:rPr>
        <w:t>E. 4.3</w:t>
      </w:r>
    </w:p>
    <w:p>
      <w:r>
        <w:t>Zum Nachweis des bestehenden Pflegeverhältnisses hat die Beschwerdeführerin diverse Unterlagen eingereicht.</w:t>
      </w:r>
    </w:p>
    <w:p>
      <w:r>
        <w:rPr>
          <w:b/>
        </w:rPr>
        <w:t>E. 4.3.1</w:t>
      </w:r>
    </w:p>
    <w:p>
      <w:r>
        <w:t>So hat sie unter anderem die Erklärung vom 25. August 2006 der leiblichen Mutter beigebracht. In dieser notariell beglaubigten Urkunde bestätigt die leibliche Mutter, dass ihr Sohn O._______ seit seinem 4. Lebensjahr bei der Beschwerdeführerin lebt und von ihr aufgezogen wird, als wäre er ihr eigenes Kind. Im Weiteren erklärt sich die leibliche Mutter damit einverstanden, dass ihr Sohn im Hinblick auf eine Adoption weiterhin von der Beschwerdeführerin betreut und erzogen wird, da diese die moralischen, finanziellen und ethischen Voraussetzungen erfülle, um eine gute Mutter zu sein. Dies sei an deren Wohnort auch bekannt. Im Weiteren hat die Beschwerdeführerin einen richterlichen Entscheid vom 19. Oktober 2006 eingereicht, wonach ihr im Hinblick auf die Adoption des Kindes O._______ das vorübergehende Sorgerecht zugesprochen wird. Auch wenn dieser Entscheid den ausdrücklichen Hinweis enthält, dass es sich um eine provisorische Regelung handle und die leibliche Mutter bezüglich ihres Einverständnisses zur Adoption noch einmal befragt werden müsse, gibt es doch keinerlei Anhaltspunkte, die darauf hindeuten würden, dass O._______ nicht bei seinem verstorbenen Vater und dessen Ehefrau gewohnt hätte. Allerdings ist festzuhalten, dass in Bezug auf die Aufenthaltsdauer von O._______ bei der Beschwerdeführerin unterschiedliche Angaben gemacht werden. So spricht die leibliche Mutter davon, dass ihr Sohn seit seinem 4. Lebensjahr, also seit 1997/1998, von der Beschwerdeführerin aufgezogen wird, während der Bruder des Verstorbenen in seiner Erklärung vom 8. Oktober 2008 bestätigt, dass O._______ seit 1999 im gemeinsamen Haushalt seines verstorbenen Bruders und dessen Ehefrau gelebt hat. In der Wohnsitzbescheinigung vom 23. Februar 2008 schliesslich wird bestätigt, dass O._______ seit 8 Jahren Wohnsitz an der Rua A._______ in B._______, also dem Wohnsitz der Beschwerdeführerin und ihres verstorbenen Ehemanns, hatte - demnach seit etwa 2000. Es kann jedoch offen bleiben, ob O._______ seit dem Jahre 2000 oder 1999 oder allenfalls schon früher bei seinem Vater und dessen Partnerin (die er Anfang 2003 ehelichte) gewohnt hat, ist es doch nach der Praxis nicht erforderlich, dass das Pflegeverhältnis vor dem Rentenfall schon eine bestimmte Zeit gedauert hat. Entscheidend ist, dass O._______ gemäss Wohnsitzbescheinigung vom 23. Februar 2008 auch nach dem Tod seines Vaters weiterhin und dauernd bei der Beschwerdeführerin wohnte. Die Erklärung der leiblichen Mutter sowie der richterliche Entscheid vom 19. Oktober 2006 lassen zudem nur den Schluss zu, dass das Pflegeverhältnis auf längere Dauer ausgerichtet war und ist. Es ist offensichtlich, dass das Pflegeverhältnis seit der Begründung nie unterbrochen worden ist, und dass die leibliche Mutter ihre Elternrechte seit langem nicht mehr ausübt.</w:t>
      </w:r>
    </w:p>
    <w:p>
      <w:r>
        <w:rPr>
          <w:b/>
        </w:rPr>
        <w:t>E. 4.3.2</w:t>
      </w:r>
    </w:p>
    <w:p>
      <w:r>
        <w:t>Aufgrund der vorliegenden Unterlagen steht fest, dass O._______ bereits seit längerer Zeit bei seinem verstorbenen Vater und der Beschwerdeführerin gelebt hat, und seit dem Tod des Vaters weiterhin bei ihr wohnt und von ihr erzogen wird. Das Erfordernis der dauernden Pflege und Erziehung ist damit gegeben.</w:t>
      </w:r>
    </w:p>
    <w:p>
      <w:r>
        <w:rPr>
          <w:b/>
        </w:rPr>
        <w:t>E. 4.3.3</w:t>
      </w:r>
    </w:p>
    <w:p>
      <w:r>
        <w:t>Was die Unentgeltlichkeit des Betreuungsverhältnisses angeht, werden in der Tat keine konkreten Angaben gemacht. Allerdings sprechen die Umstände dafür, dass die leibliche Mutter nicht in der Lage ist, Unterhaltsbeiträge für ihren Sohn zu bezahlen, da aus ihrer Erklärung vom 25. August 2006 hervorgeht, dass sie ledig und Hausfrau ist ("do lar") und keiner regelmässigen Erwerbstätigkeit nachgeht. Vielmehr hat sie ausdrücklich bestätigt, es sei ihr Wunsch, dass ihr Sohn unter anderem auch aus materiellen Gründen weiterhin von der Beschwerdeführerin aufgezogen werde. Zudem finden sich in den Akten keine Anhaltspunkte dafür, dass die Beschwerdeführerin von der leiblichen Mutter oder Dritten für den Unterhalt von O._______ so weit gehend entschädigt würde, dass ein Viertel der tatsächlichen Unterhaltskosten gedeckt wären. Für das Bundesverwaltungsgericht steht mit überwiegender Wahrscheinlichkeit fest, dass der verstorbene Vater zusammen mit der Beschwerdeführerin alleine für den Unterhalt von O._______ aufgekommen ist, und dass auch weiterhin von einer unentgeltlichen Betreuung durch die Beschwerdeführerin ausgegangen werden kann - umso mehr, als den eingereichten Unterlagen zu entnehmen ist, dass die Beschwerdeführerin beabsichtigt, O._______ zu adoptieren.</w:t>
      </w:r>
    </w:p>
    <w:p>
      <w:r>
        <w:rPr>
          <w:b/>
        </w:rPr>
        <w:t>E. 5</w:t>
      </w:r>
    </w:p>
    <w:p>
      <w:r>
        <w:t>Demnach ist mit überwiegender Wahrscheinlichkeit davon auszugehen, dass zwischen der Beschwerdeführerin und dem Sohn ihres verstorbenen Ehemannes im Zeitpunkt der Verwitwung ein unentgeltliches Pflegeverhältnis im Sinne von Art. 23 Abs. 2 Bst. a AHVG in Verbindung mit Art. 49 Abs. 1 AHVV bestanden hat und nach wie vor besteht. Damit hat die Beschwerdeführerin Anspruch auf eine Witwenrente ab März 2006. Der angefochtene Einspracheentscheid vom 6. Februar 2008 ist daher aufzuheben und die Vorinstanz ist anzuweisen, in dieser Sache nach Berechnung der Witwenrente neu zu verfügen.</w:t>
      </w:r>
    </w:p>
    <w:p>
      <w:r>
        <w:rPr>
          <w:b/>
        </w:rPr>
        <w:t>E. 6</w:t>
      </w:r>
    </w:p>
    <w:p>
      <w:r>
        <w:t>Zu befinden bleibt noch über die Verfahrenskosten sowie eine allfällige Parteientschädigung.</w:t>
      </w:r>
    </w:p>
    <w:p>
      <w:r>
        <w:rPr>
          <w:b/>
        </w:rPr>
        <w:t>E. 6.1</w:t>
      </w:r>
    </w:p>
    <w:p>
      <w:r>
        <w:t>Das Verfahren ist für die Parteien kostenlos (Art. 85bis Abs. 2 AHVG), so dass keine Verfahrenskosten zu erheben sind.</w:t>
      </w:r>
    </w:p>
    <w:p>
      <w:r>
        <w:rPr>
          <w:b/>
        </w:rPr>
        <w:t>E. 6.2</w:t>
      </w:r>
    </w:p>
    <w:p>
      <w:r>
        <w:t>Bei diesem Ausgang des Verfahrens ist der obsiegenden Beschwerdeführerin eine von der Vorinstanz zu entrichtende Parteientschädigung zuzusprechen (Art. 64 Abs. 1 VwVG; Art. 7 Abs. 1 des Reglements vom 21. Februar 2008 über die Kosten und Entschädigungen vor dem Bundesverwaltungsgericht [VGKE, SR 173.320.2]), welche mangels Kostennote gemäss Art. 14 Abs. 1 VGKE aufgrund der Akten zu bestimmen ist. Das einer Partei zu entschädigende Honorar bestimmt sich nach dem notwendigen Zeitaufwand des Vertreters, wobei der Stundenansatz für nichtanwaltliche Vertreter und Vertreterinnen Fr. 100.- bis Fr. 300.- beträgt (Art. 10 Abs. 2 VGKE). Das Bundesverwaltungsgericht erachtet aufgrund der Akten ein Honorar (inklusive Auslagen, ohne MWSt) von Fr. 1'000.-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