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C-1529/2015 vom 4. April 2016</w:t>
      </w:r>
    </w:p>
    <w:p>
      <w:r>
        <w:t>Bundesverwaltungsgericht, 2016-04-04, IT</w:t>
      </w:r>
    </w:p>
    <w:p>
      <w:r>
        <w:rPr>
          <w:b/>
        </w:rPr>
        <w:t xml:space="preserve">Quelle: </w:t>
      </w:r>
      <w:r>
        <w:t>https://mcp.opencaselaw.ch/entscheid/bvger_C-1529_2015</w:t>
      </w:r>
    </w:p>
    <w:p>
      <w:r>
        <w:t>FR: TAF C-1529/2015 du 4 avril 2016</w:t>
      </w:r>
    </w:p>
    <w:p>
      <w:r>
        <w:t>IT: TAF C-1529/2015 del 4 aprile 2016</w:t>
      </w:r>
    </w:p>
    <w:p>
      <w:pPr>
        <w:pStyle w:val="Heading2"/>
      </w:pPr>
      <w:r>
        <w:t>Regeste</w:t>
      </w:r>
    </w:p>
    <w:p>
      <w:r>
        <w:t>Divieto d'entrata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Da quanto esposto, discende che il ricorso, nella misura in cui ammissibile, deve essere parzialmente accolto, la decisione impugnata annullata e gli atti di causa ritornati all'autorità inferiore affinché proceda al completamento dell'istruttoria nel senso precedentemente indicato.</w:t>
      </w:r>
    </w:p>
    <w:p>
      <w:r>
        <w:rPr>
          <w:b/>
        </w:rPr>
        <w:t>E. 6</w:t>
      </w:r>
    </w:p>
    <w:p>
      <w:r>
        <w:t>Le spese giudiziarie e le ripetibili seguono la soccombenza, considerato tuttavia come ai sensi dell'art. 63 cpv. 2 PA nessuna spesa processuale è messa a carico dell'autorità inferiore. Ritenuto che l'insorgente è rappresentato in questa sede da un avvocato, si giustifica l'attribuzione di un'indennità a titolo di spese ripetibili (art. 64 PA in combinazione con gli artt. 7 e segg. regolamento sulle tasse e sulle spese ripetibili nelle cause dinanzi al Tribunale amministrativo federale del 21 febbraio 2008 [TS-TAF, RS 173.320.2]). La stessa, in assenza di una nota dettagliata, è fissata d'ufficio in fr. 1'500.-, IVA esclusa (cfr. art. 1 cpv. 2 in correlazione con gli art. 8 cpv. 1 e 18 cpv. 1 LIVA [RS 641.20]; sentenze del TAF C-2353/2013 del 16 dicembre 2015 consid. 16; C-3457/2011 del 10 maggio 2012 consid. 11.1 e C-1677/2011 del 13 gennaio 2012 consid. 5.3), tenuto conto del lavoro effettivo svolto dal patrocinatore del ricorrente. L'indennità per ripetibili è posta a carico della SEM.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