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C-1527/2019 vom 15. September 2021</w:t>
      </w:r>
    </w:p>
    <w:p>
      <w:r>
        <w:t>Bundesverwaltungsgericht, 2021-09-15, DE</w:t>
      </w:r>
    </w:p>
    <w:p>
      <w:r>
        <w:rPr>
          <w:b/>
        </w:rPr>
        <w:t xml:space="preserve">Quelle: </w:t>
      </w:r>
      <w:r>
        <w:t>https://mcp.opencaselaw.ch/entscheid/bvger_C-1527_2019</w:t>
      </w:r>
    </w:p>
    <w:p>
      <w:r>
        <w:t>FR: TAF C-1527/2019 du 15 septembre 2021</w:t>
      </w:r>
    </w:p>
    <w:p>
      <w:r>
        <w:t>IT: TAF C-1527/2019 del 15 settembre 2021</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Suva ist eine Vorinstanz im Sinne von Art. 33 Bst. e VGG. Nach Art. 109 Bst. b des Bundesgesetzes vom 20. März 1981 über die Unfallversicherung (UVG, SR 832.20) beurteilt das Bundesverwaltungsgericht sodann Beschwerden gegen Einspracheentscheide über die Zuteilung der Betriebe und der Versicherten zu den Klassen und Stufen der Prämientarife. Die Zuständigkeit des Bundesverwaltungsgerichts zur Beurteilung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Die Beschwerdeführerin hat am vorinstanzlichen Verfahren teilgenom-men, ist als Adressatin durch den angefochtenen Einspracheentscheid in besonderer Weise berührt und hat an deren Aufhebung oder Änderung ein schutzwürdiges Interesse (Art. 48 Abs. 1 VwVG; vgl. auch Art. 59 ATSG). Sie ist zur Beschwerde legitimiert.</w:t>
      </w:r>
    </w:p>
    <w:p>
      <w:r>
        <w:rPr>
          <w:b/>
        </w:rPr>
        <w:t>E. 1.4</w:t>
      </w:r>
    </w:p>
    <w:p>
      <w:r>
        <w:t>Die Beschwerde wurde frist- und formgerecht eingereicht. Da auch der Kostenvorschuss von Fr. 2'000.- rechtzeitig bezahlt wurde, ist auf die Beschwerde einzutreten.</w:t>
      </w:r>
    </w:p>
    <w:p>
      <w:r>
        <w:rPr>
          <w:b/>
        </w:rPr>
        <w:t>E. 2</w:t>
      </w:r>
    </w:p>
    <w:p>
      <w:r>
        <w:t>Anfechtungsobjekt und damit Begrenzung des Streitgegenstands des vorliegenden Beschwerdeverfahrens (vgl. BGE 131 V 164 E. 2.1) bildet der Einspracheentscheid vom 25. Februar 2019, mit welchem die Suva die Einsprache der Beschwerdeführerin vom 4. September 2018 abgewiesen und die mit den Einreihungsverfügungen vom 3. Juli 2018 mit Wirkung ab dem 1. Januar 2016 vorgenommene Einreihung des Betriebs der Beschwerdeführerin in die Klasse 49A bestätigt hat. Die Beschwerdeführerin verlangt beschwerdeweise die Aufhebung des Einspracheentscheids vom 25. Februar 2019 und die Einreihung des Betriebs der Beschwerdeführerin in die Klasse 60F (Büros) des Prämientarifs der Suva. Damit hat sie (zumindest implizit) auch die im Einspracheentscheid vom 25. Februar 2019 vorgenommene Prämienberechnung mitangefochten. Nachfolgend vom Bundesverwaltungsgericht zu prüfen ist daher, ob die Vorinstanz die Beschwerdeführerin zu Recht mit Wirkung ab dem 1. Januar 2016 in die Klasse 49A eingereiht hat. Darüber hinaus sind die von der Vorinstanz im Einspracheentscheid vom 25. Februar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vom 13. Dezember 2004, publiziert in VPB 69.73, E. 3).</w:t>
      </w:r>
    </w:p>
    <w:p>
      <w:r>
        <w:rPr>
          <w:b/>
        </w:rPr>
        <w:t>E. 3.4.1</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Suva-Tarifs (Ausgabe 2016)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2016 gültigen Suva-Prämientarif 2016 (Reglement des Verwaltungsrats der Suva vom 14. November 2008 betreffend die Einreihungsregeln zur Prämienbemessung in der obligatorischen Unfallversicherung [Beilage B zu BVGer-act. 9]; nachfolgend: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In ihrer Replik rügt die Beschwerdeführerin sinngemäss eine Verletzung ihres rechtlichen Gehörs. Da eine Verletzung des rechtlichen Gehörs - unabhängig vom Ausgang des Beschwerdeverfahrens in materieller Hinsicht - zur Aufhebung des angefochtenen Entscheids führt,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w:t>
      </w:r>
    </w:p>
    <w:p>
      <w:r>
        <w:t>Die Beschwerdeführerin führt in ihrer Replik aus, die Vorinstanz stelle sich in der Vernehmlassung weiterhin auf den Standpunkt, dass die Einreihung in die Klasse 49A rechtskonform sei, ohne eine über die blosse Wiederholung der entsprechenden Passagen des Einspracheentscheids gehende Begründung darzutun. Insbesondere habe sich die Vorinstanz mit den in der Beschwerde vorgetragenen Rügen nicht ansatzweise auseinandergesetzt. Dies entspreche einer Art materiellen Rechtsverweigerung.</w:t>
      </w:r>
    </w:p>
    <w:p>
      <w:r>
        <w:rPr>
          <w:b/>
        </w:rPr>
        <w:t>E. 5.3</w:t>
      </w:r>
    </w:p>
    <w:p>
      <w:r>
        <w:t>Die Vorinstanz entgegnet in ihrer Duplik, angesichts der zwölf Seiten umfassenden Beschwerdeantwort und des acht Seiten umfassenden Einspracheentscheids sei die Rüge der Beschwerdeführerin bezüglich einer mangelhaften Begründung und materiellen Rechtsverweigerung nicht haltbar. Insbesondere habe sie auf den Seiten 2 bis 4 der Beschwerdeantwort ausführlich zu den Vorbringen der Beschwerdeführerin zur Klassenstruktur der Suva und zu ihrer Klassenzuteilung Stellung genommen.</w:t>
      </w:r>
    </w:p>
    <w:p>
      <w:r>
        <w:rPr>
          <w:b/>
        </w:rPr>
        <w:t>E. 5.4</w:t>
      </w:r>
    </w:p>
    <w:p>
      <w:r>
        <w:t>Die erwähnte Rüge der Beschwerdeführerin der materiellen Rechtsverweigerung betrifft nach ihren eigenen Angaben ausschliesslich die von der Vorinstanz im vorliegenden Beschwerdeverfahren eingereichte Vernehmlassung. In Bezug auf den vorliegend angefochtenen Einspracheentscheid rügt die Beschwerdeführerin weder in ihrer Beschwerde noch in ihrer Replik eine Verletzung der Begründungspflicht. Vielmehr gesteht die Beschwerdeführerin in ihrer Beschwerde explizit zu, dass der vorliegend angefochtene Einspracheentscheid wesentlich detailliertere Erläuterungen zur Klassenstruktur, Klassenzuteilung, den besonderen Betriebsverhältnissen sowie insbesondere zum vorliegend anwendbaren Prämienmodell und der Berechnung des Bonus/Malus enthält. Sie kritisiert jedoch, dass auch dies nicht zur anbegehrten materiellen Änderung der früheren Einreihung führe, sondern dass die Vorinstanz die Zuweisung in die Klasse 49A erneut als «gesetzmässig und korrekt» bezeichne. Damit rügt die Beschwerdeführerin effektiv nicht eine unzureichende Begründung des angefochtenen Einspracheentscheids, sondern lediglich eine unzutreffende materielle Beurteilung durch die Vorinstanz. Sie war denn auch aufgrund der Begründung des angefochtenen Einspracheentscheids zweifellos in der Lage, diesen sachgerecht vor dem Bundesverwaltungsgericht anzufechten. Die Frage, ob und wie ausführlich sich die Vorinstanz im vorliegenden Beschwerdeverfahren vernehmen liess, würde für die Prüfung der Verletzung des rechtlichen Gehörs nur dann eine Rolle spielen, wenn bereits der Einspracheentscheid nicht hinreichend begründet wäre (im Sinne einer Heilung einer geringfügigen Verletzung des rechtlichen Gehörs durch eine nachgereichte Begründung im Beschwerdeverfahren). Nachdem vorliegend die Beschwerdeführerin jedoch selbst zugesteht, dass der angefochtene Einspracheentscheid detailliert begründet wurde, ist zum Vornherein keine Verletzung des rechtlichen Gehörs (respektive der Begründungspflicht) auszumachen. Darüber hinaus hat sich die Vorinstanz in ihrer Vernehmlassung auch zu den von der Beschwerdeführerin beschwerdeweise vorgebrachten (im Vergleich zum vorausgegangenen Beschwerdeverfahren neuen) Rügen geäussert, so dass - entgegen der Auffassung der Beschwerdeführerin - auch in diesem Zusammenhang keine materielle Rechtsverweigerung auszumachen ist.</w:t>
      </w:r>
    </w:p>
    <w:p>
      <w:r>
        <w:rPr>
          <w:b/>
        </w:rPr>
        <w:t>E. 6</w:t>
      </w:r>
    </w:p>
    <w:p>
      <w:r>
        <w:t>Wie die Beschwerdeführerin in ihrer Beschwerdeschrift zu Recht darlegt, handelt es sich vorliegend bereits um das dritte Beschwerdeverfahren in derselben Streitsache beim Bundesverwaltungsgericht. Indessen hat sich das Bundesverwaltungsgericht nur im Beschwerdeverfahren C-2601/2016 materiell mit der vorliegend streitigen Frage der ab dem 1. Januar 2016 vorgenommenen Einreihung des Betriebs der Beschwerdeführerin in die Klasse 49A bereits auseinandergesetzt; das frühere Beschwerdeverfahren C-1505/2015 hat das Bundesverwaltungsgericht demgegenüber infolge Wiedererwägung durch die Vorinstanz als gegenstandslos geworden abgeschrieben.</w:t>
      </w:r>
    </w:p>
    <w:p>
      <w:r>
        <w:rPr>
          <w:b/>
        </w:rPr>
        <w:t>E. 6.1</w:t>
      </w:r>
    </w:p>
    <w:p>
      <w:r>
        <w:t>Mit Urteil C-2601/2016 vom 15. Dezember 2017 hat das Bundesverwaltungsgericht die Streitsache infolge Verletzung des rechtlichen Gehörs (Verletzung der Begründungspflicht) zum erneuten Verfügungserlass an die Vorinstanz zurückgewiesen. Es hat in diesem Zusammenhang jedoch nicht nur die Begründungsdichte des in jenem Verfahren angefochtenen Einspracheentscheids geprüft, sondern im Rahmen der Prüfung der beschwerdeführerischen Rüge, die Vorinstanz habe die Berechnungsgrundlagen nicht nachvollziehbar begründet, sich auch zu den neuen Einreihungsregeln der Suva ab dem 1. Januar 2016 geäussert. Hierbei hat es namentlich festgestellt, dass die Ausführungen der Vorinstanz, wonach diese - unter Hinweis auf Art. 18 des Tarifs - die administrativen Tätigkeiten bei der Zuteilung zur Risikogemeinschaft nicht berücksichtigt habe, nachvollziehbar seien (Urteil des BVGer C-2601/2016 vom 15. Dezember 2017 E. 6.2.1 i. V. m. E. 6.2.3). Auch den Ausführungen der Vorinstanz in Bezug auf die definitive prozentuale Zuteilung zu den Klassen unter Berücksichtigung der Tatsache, dass administrative Tätigkeiten nicht als eigenes Betriebsmerkmal berücksichtigt würden, stimmte das Bundesverwaltungsgericht zu (Urteil des BVGer C-2601/2016 vom 15. Dezember 2017 E. 6.3.1 i. V. m. E. 6.4.1). Damit hat das Bundesverwaltungsgericht insbesondere die - im Rahmen ihres Ermessens (vgl. E. 3.2 hiervor) getroffene - Entscheidung der Suva, die Büroklasse 60F des ab dem 1. Januar 2016 gültigen Prämientarifs leer zu lassen (vgl. die im Anhang 4 zum Prämientarif der Suva erwähnte Ausnahme Bst. d) respektive administrative Tätigkeiten bei der Zuteilung zur Risikogemeinschaft nicht zu berücksichtigen (vgl. Art. 18 Abs. 1 des Prämientarifs), geschützt. Die im vorliegenden Verfahren diesbezüglich erneut erhobenen Rügen der Beschwerdeführerin - insbesondere die von ihr in diesem Zusammenhang beschwerdeweise geltend gemachte verfassungswidrige Ungleichbehandlung - sind damit infolge res iudicata nicht zu hören.</w:t>
      </w:r>
    </w:p>
    <w:p>
      <w:r>
        <w:rPr>
          <w:b/>
        </w:rPr>
        <w:t>E. 6.2</w:t>
      </w:r>
    </w:p>
    <w:p>
      <w:r>
        <w:t>Darüber hinaus hat sich das Bundesverwaltungsgericht im Urteil C-2601/2016 vom 15. Dezember 2017 namentlich auch zu der neuen Einreihung in die Klasse 49A eingehend geäussert. Hierbei hat es der Vorinstanz in Bezug auf die von ihr in der Einreihungsverfügung respektive im Einspracheentscheid genannten rechtlichen Normen des Tarifs, die Basissätze und die Schwellenwerte, welche bei besonderen Betriebsverhältnissen zur Anwendung gelangen sollten, zugestimmt. Es hat lediglich bemängelt, die konkrete Berechnung (in Anwendung von Art. 24 und Anhang 5 des Tarifs) sei nicht nachvollziehbar, und beanstandet, dass aus dem Einspracheentscheid nicht hervorgehe, von welchem konkreten Schwellwert in Anhang 5 vorliegend ausgegangen werde und wie die Berechnung konkret (in Zahlen) zu erfolgen habe (Urteil des BVGer C-2601/2016 vom 15. Dezember 2017 E. 6.4.1). Im Beschwerdeverfahren C-2601/2016 war nach dem Gesagten lediglich die konkrete Berechnung der Prämiensätze für das Bundesverwaltungsgericht unklar und Grund für die von ihm verfügte Rückweisung zum erneuten Verfügungserlass an die Vorinstanz. Die Rückweisung an die Vorinstanz erfolgte damit aus Gründen der Transparenz (zwecks Verbesserung des angefochtenen Einspracheentscheids) und nicht etwa infolge einer Beanstandung der in materieller Hinsicht vorgenommenen neuen Einreihung des Betriebs der Beschwerdeführerin. Diesbezüglich hat das Bundesverwaltungsgericht vielmehr die damals wie auch vorliegend angefochtene neue Einreihung in die Klasse 49F nicht beanstandet.</w:t>
      </w:r>
    </w:p>
    <w:p>
      <w:r>
        <w:rPr>
          <w:b/>
        </w:rPr>
        <w:t>E. 6.3</w:t>
      </w:r>
    </w:p>
    <w:p>
      <w:r>
        <w:t>Obschon die Beschwerdeführerin auch im vorliegenden Verfahren die Einreihung in die Klasse 49A anficht, bringt sie hierfür keine Argumente, welche nicht bereits im Beschwerdeverfahren C-2601/2016 vom Bundesverwaltungsgericht geprüft worden wären. Insbesondere hat die Beschwerdeführerin in der in jenem Verfahren eingereichten Replik ihren ursprünglichen Antrag, sie sei weiterhin in der bisherigen Kategorie 52A (Handelsbetriebe) einzuteilen, bereits angepasst auf den auch im vorliegenden Beschwerdeverfahren gestellten Antrag, sie sei neu in die Klasse 60A (Bürobetriebe) einzureihen. Die Zuteilung in die Klasse 49F (Strassentransporte) entspricht sodann der Betriebsbeschreibung des Jahres 2013 (vgl. Suva-act. 65), wonach die Beschwerdeführerin zu 53 % Administration und kaufmännische Tätigkeiten, zu 20 % Strassentransport von Gütern, zu 17 % Revision von Verbrennungsmotoren und Fahrwerkteilen sowie zu 10 % Handel oder Umschlag von diversen Gütern betreibt. Die Beschwerdeführerin hat mit E-Mail vom 20. Dezember 2013 ausdrücklich bestätigt, dass die erwähnte Betriebsbeschreibung die von ihrem Betrieb ausgeführten Tätigkeiten korrekt wiedergibt (Suva-act. 65 S. 6). Nachdem die Vorinstanz die vom beschwerdeführerischen Betrieb ausgeübten administrativen Tätigkeiten nicht für die Einreihung berücksichtigt (vgl. E. 6.1 hiervor) und der nächsthöhere Betriebsanteil mit 20 % auf den Strassentransport von Gütern fällt, erweist sich die von der Vorinstanz eingenommene Einreihung überdies als betriebskonform. Unter diesen Umständen sowie insbesondere in Anbetracht des grossen Ermessensspielraums der Suva, den sie rechtsfehlerfrei ausgeübt hat (vgl. E. 3.2 hiervor), ist die Zuteilung des beschwerdeführerischen Betriebs in die Klasse 49F (Strassentransporte) zu schützen.</w:t>
      </w:r>
    </w:p>
    <w:p>
      <w:r>
        <w:rPr>
          <w:b/>
        </w:rPr>
        <w:t>E. 7</w:t>
      </w:r>
    </w:p>
    <w:p>
      <w:r>
        <w:t>Auf Grund des Rückweisungsentscheids C-2601/2016 vom 15. Dezember 2017 hat die Vorinstanz sodann mit dem vorliegend angefochtenen Einspracheentscheid den vom Bundesverwaltungsgericht erkannten Begründungsmangel behoben und ihre Berechnungen eingehend dargelegt. Diese Berechnungen sind nachfolgend zu überprüfen.</w:t>
      </w:r>
    </w:p>
    <w:p>
      <w:r>
        <w:rPr>
          <w:b/>
        </w:rPr>
        <w:t>E. 7.1</w:t>
      </w:r>
    </w:p>
    <w:p>
      <w:r>
        <w:t>Wie bereits dargelegt, hat die Suva beim beschwerdeführerischen Betrieb den Strassentransport (mit 20 %) zu Recht als bestimmendes Betriebsmerkmal qualifiziert (E. 6.3 hiervor). In Bezug auf die weiteren bei der Beschwerdeführerin vorliegenden besonderen Betriebsmerkmale hat sie erklärt, dass sie diese zwecks möglichst risikogerechter Festlegung der Prämien bei der Prämienbemessung berücksichtige, sofern diese nicht bereits im entsprechenden Umfang im Basissatz der betreffenden Risikogemeinschaft enthalten seien. In diesem Zusammenhang hat sie auf Art. 24 Abs. 1 des Prämientarifs verwiesen. Hiernach können die für die Zuteilung zur Risikogemeinschaft nicht ausschlaggebenden Betriebsmerkmale anteilmässig bei der Prämienbemessung berücksichtigt werden, wenn sie die in Anhang 5 angegebenen Schwellwerte überschreiten. Im erwähnten Anhang 5 des Prämientarifs sind bei der Klasse 49A Schwellwerte für Bürotätigkeiten von 30 % und für gewerbliche Tätigkeiten (bezeichnet als "gewerblich") von 15 % vorgesehen. Gestützt darauf hat die Vorinstanz zu Recht gefolgert, dass die besonderen Betriebsmerkmale der Beschwerdeführerin von 53 % Administration sowie von 17 % Revision von Verbrennungsmotoren und Fahrwerkteilen die entsprechenden Schwellwerte (von 30 respektive 15 %) überschreiten. Implizit hat die Vorinstanz sodann das bei der Beschwerdeführerin ebenfalls vorhandene besondere Betriebsmerkmal des Handels oder Umschlags von diversen Gütern von 10 % als nicht relevant betrachtet, da dieses eindeutig den gewerblichen Schwellwert von 15 % unterschreitet. Soweit sind die Ausführungen der Vorinstanz nicht zu beanstanden.</w:t>
      </w:r>
    </w:p>
    <w:p>
      <w:r>
        <w:rPr>
          <w:b/>
        </w:rPr>
        <w:t>E. 7.2</w:t>
      </w:r>
    </w:p>
    <w:p>
      <w:r>
        <w:t>Für das Ausmass, in welchem die besonderen Betriebsmerkmale einer Risikogemeinschaft zu berücksichtigen sind, sieht Art. 24 Abs. 2 des Prämientarifs vor, dass sich dieses aus dem den Schwellwert überschreitenden Anteil multipliziert mit dem Faktor 100 dividiert durch 100 minus den Schwellwert berechnet. Gestützt darauf hat die Vorinstanz den zu berücksichtigenden Anteil besonderes Betriebsmerkmal (BBM) der von der Beschwerdeführerin betriebenen Bürotätigkeiten (Klasse 60F CO) korrekt angegeben mit 32.86 % (der von der Beschwerdeführerin betriebene Büroanteil von 53 % überschreitet zu 23 % den entsprechenden Schwellwert von 30 %; 23 % x 100 / [100 - 30 %] = 32.8571 % respektive gerundet 32.86 %). Den vorliegend ebenfalls zu berücksichtigenden Anteil der besonderen Betriebsmerkmale für die externe Montage und Reparatur von Maschinen (Klasse 13B CO) hat die Vorinstanz korrekt berechnet auf 2.35 % (der von der Beschwerdeführerin betriebene Anteil Revision von Verbrennungsmotoren von 17 % überschreitet zu 2 % den entsprechenden Schwellwert von 15 %; 2 % x 100 / [100 - 15 %] = 2.3529 % respektive gerundet 2.35 %).</w:t>
      </w:r>
    </w:p>
    <w:p>
      <w:r>
        <w:rPr>
          <w:b/>
        </w:rPr>
        <w:t>E. 7.3</w:t>
      </w:r>
    </w:p>
    <w:p>
      <w:r>
        <w:t>Anschliessend hat die Vorinstanz den Wortlaut von Art. 24 Abs. 1ter des Prämientarifs wiedergegeben. Hiernach werden Anteile von Betriebsmerkmalen, welche nicht zu einer Berücksichtigung nach Abs. 1 und 1bis führen, proportional auf die zugeteilte Risikogemeinschaft und die Anteile der Risikogemeinschaften der besonderen Betriebsmerkmale verteilt, welche für die Bestimmung des Basissatzes massgebend sind und gewerblichen Charakter haben. Zur Berechnung dieser Verteilung hat die Vorinstanz vorerst den von ihr bereits zugewiesenen Anteil korrekt auf 55.21 % (20 % [Strassenverkehr] + 32.86 % [Bürotätigkeiten] + 2.35 % [externe Montage und Reparatur von Maschinen]) sowie den verbleibenden Restanteil auf 44.79 % (100 - 55.21 %) festgelegt. Diesen Restanteil hat die Vorinstanz daraufhin anteilsmässig den beiden gewerblichen Risikogemeinschaften 49A DO (Strassenverkehr) und 13B CO (externe Montage und Reparatur von Maschinen) zugeteilt. Dies ergab für die Risikogemeinschaft 49A einen Restanteil von 40.08 % (44.79 x 10 / [20 + 2.25] sowie für die Risikogemeinschaft 13B einen Restanteil von 4.71 % (44.79 x 2.23 / [20 + 2.35]). Die Gesamtanteile der gewerblichen Risikogemeinschaften 49A DO und 13B CO erhöhten sich damit auf gerundet 60 % (20 % + 40.08 % = 60.08 %) respektive 7 % (2.35 % + 4.71 % = 7.06 %). Jene der - nicht gewerblichen (vgl. den oben wiedergegebenen Wortlaut von Art. 24 Abs. 1ter des Prämientarifs) - Büroklasse 60F CO blieb hingegen unverändert bei 32.86 %, respektive gerundet 33 %. Dieses Vorgehen erweist sich ebenfalls als tarifkonform und ist nicht zu beanstanden.</w:t>
      </w:r>
    </w:p>
    <w:p>
      <w:r>
        <w:rPr>
          <w:b/>
        </w:rPr>
        <w:t>E. 7.4</w:t>
      </w:r>
    </w:p>
    <w:p>
      <w:r>
        <w:t>Gestützt auf Art. 24 Abs. 2 des Prämientarifs errechnete die Vorinstanz sodann den sich aus den einzelnen Basissätzen der verschiedenen Risikogemeinschaften ergebenden Mischsatz für den Betrieb der Beschwerdeführerin. Diese Basissätze entsprechend jeweils einem Nettosatz im Suva-Tarif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Prämientarifs (in der vorliegend anwendbaren Fassung des Prämientarifs 2016 auf S. 44). Die Zuordnung der einzelnen Unterklassen respektive Risikogemeinschaften (vgl. Art. 13 des Prämientarifs) ist ihrerseits in der Broschüre "Prämientarif 2016, Darstellung der meistgebrauchten Tarife für die obligatorische Berufs- und Nichtberufsunfallversicherung" der Suva (nachfolgend: Grundtarif) geregelt (vgl. Beilage zu BVGer-act. 20). Unter Berücksichtigung der in der BUV im Jahr 2016 geltenden Basissätze der Risikogemeinschaft 49A DO (Strassentransporte: Strassentransporte von Gütern) von 2.63 % (Stufe 101), der Risikogemeinschaft 13B CO (Maschinenbau: Externe Montage und Reparatur von Maschinen) von 1.147 % (Stufe 84) und der Risikogemeinschaft 60F CO (Büros) von 0.163 % (Stufe 44) sowie der erwähnten Anteile der besonderen Betriebsmerkmale von 60 % Strassentransport, 7 % Maschinenbau und 33 % Bürotätigkeiten resultierte in der BUV ein Mischsatz von 1.71204 % (60 % von 2.63 + 7 % von 1.1470 + 33 % von 0.1695), der gerundet auf die nächste Tarifstufe (Stufe 92) 1.695 % ergab. Aufgrund der in der NBUV im Jahr 2016 geltenden Basissätze der Risikogemeinschaft 49A (Strassentransporte) von 1.695 % (Stufe 92), der Risikogemeinschaft 13B (Maschinenbau) von 1.395 % (Stufe 88) und der Risikogemeinschaft 60F (Büros) von 0.815 % (Stufe 77) sowie der erwähnten prozentualen Anteile dieser drei besonderen Betriebsmerkmale resultierte in der NBUV sodann ein Mischsatz von 1.3836 % (60 % von 1.695 + 7 % von 1.395 + 33 % von 0.815 %), der gerundet auf die nächste Tarifstufe (Stufe 88) 1.395 % ergab. Beide (auf Tarifstufe gerundete) Mischsätze sind nicht zu beanstanden.</w:t>
      </w:r>
    </w:p>
    <w:p>
      <w:r>
        <w:rPr>
          <w:b/>
        </w:rPr>
        <w:t>E. 7.5</w:t>
      </w:r>
    </w:p>
    <w:p>
      <w:r>
        <w:t>Aufgrund der Lohnsummen der Beschwerdeführerin in der BUV in den Jahren 2009 bis 2014 von rund Fr. 11'306'181.- (entsprechend durchschnittlich Fr. 1'884'363.5 pro Jahr) und des vorangehend errechneten Basissatzes von 1.695 % ermittelte die Vorinstanz die durchschnittliche Basisprämie der Beschwerdeführerin auf Fr. 31'940. - pro Jahr, womit in der BUV das BMS 03 (vgl. Art. 22 Abs. 1 des Prämientarifs, 1. Satz), und damit das Bonus-Malus-System (vgl. Art. 37 des Prämientarifs), zur Anwendung gelangte. In den NBUV demgegenüber kam - ausgehend von denselben Lohnsummen - infolge des vorangehend errechneten Basissatzes von 1.395 % und einer durchschnittlichen Basisprämie von Fr. 26'287.- die Einreihung zum Basissatz respektive Mischsatz zur Anwendung (vgl. Art. 22 Abs. 1 des Prämientarifs, 2. Satz). In der NBUV entspricht der Nettoprämiensatz damit ohne Weiteres dem vorangehend errechneten Mischsatz von 1.395 %.</w:t>
      </w:r>
    </w:p>
    <w:p>
      <w:r>
        <w:rPr>
          <w:b/>
        </w:rPr>
        <w:t>E. 7.6</w:t>
      </w:r>
    </w:p>
    <w:p>
      <w:r>
        <w:t>In Bezug auf das in der BUV anwendbare Bonus-Malus-System gab die Vorinstanz ferner Art. 37 des Prämientarifs wieder, wonach im BMS 03 für die Prämienbemessung die individuellen Risikoerfahrungen der Betriebe im Umfang ihrer Kredibilität mitberücksichtigt werden. Die Kredibilität gibt hierbei an, in welchem Ausmass die betriebseigenen Risikoerfahrungen in die Prämienbemessung mit einbezogen werden (Abs. 1). Die Kredibilität zur Berücksichtigung der Heilkosten und Taggelder berechnet sich aus der Basisprämie dividiert durch die Basisprämie plus Fr. 90'000.-. Die Kredibilität zur Berücksichtigung der Renten berechnet sich aus der Basisprämie dividiert durch die Basisprämie plus Fr. 600'000.- für die Betriebe der Klasse 41 A beziehungsweise plus Fr. 1'800'000.- für die Betriebe der übrigen Klassen (Abs. 2). Massgebend für die Bestimmung der mit einem Betrieb gemachten Risikoerfahrungen sind der während einer Beobachtungsperiode von sechs Jahren entstandene Aufwand für die Heilkosten und Taggelder bis Fr. 38'000.- pro Fall sowie der in derselben Periode entstandene Aufwand für die Renten bis Fr. 380'000.- pro Fall (Abs. 3). Zum Aufwand zählen die bereits angefallenen Unfallkosten und die für die erwarteten zukünftigen Kosten vorzunehmenden Rückstellungen (Abs. 4). Der Aufwand aus den Berufskrankheiten, Regressfällen und regressverdächtigen Fällen bleibt unberücksichtigt. Ausgenommen sind Unfälle, bei denen der Betrieb oder einer seiner Mitarbeitenden ganz oder überwiegend haftet (Abs. 5). Die Risikoerfahrungen des Betriebs werden mit den Risikoerfahrungen der Risikogemeinschaft verglichen. Die Abweichungen werden um die Amortisationskomponente der Risikogemeinschaft korrigiert und nach der Kredibilität des Betriebs gewichtet (Abs. 6). Die korrigierten und gewichteten Abweichungen bestimmen einen allfälligen Bonus oder Malus, der zum Basissatz der Risikogemeinschaft oder zum Mischsatz addiert oder von diesem abgezogen wird. Daraus ergibt sich der Bedarfssatz des Betriebs (Abs. 8). Der Nettoprämiensatz des Betriebs entspricht dem seinem Bedarfssatz am nächsten liegenden Nettosatz des Suva-Grundtarifs (Abs. 9).</w:t>
      </w:r>
    </w:p>
    <w:p>
      <w:r>
        <w:rPr>
          <w:b/>
        </w:rPr>
        <w:t>E. 7.7</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Beschwerdeführerin beschwerdeweise nicht in Frage gestellten, im Grundlagenblatt Zusatzblatt BUV 2016 vom 23. Mai 2019 (Beilage E zu BVGer-act. 9) enthaltenen Angaben basieren. Insbesondere ermittelte die Vorinstanz in Anwendung der Formel für den Bonus/Malus Heilkosten und Taggelder eine Kredibilität von 68.04 % respektive in Anwendung der Formel für den Bonus/Malus des Rentenkapitals eine Kredibilität von 9.62 %. Den BMS-Risikosatz des Betriebs für Invaliditäts- und Todesfallleistungen gab sie an mit 0.104 % sowie darauf basierend den Bonus für Invaliditäts- und Todesfallleistungen mit 0.0158 %. Den Bedarfssatz errechnete sie, ausgehend vom vorangehend errechneten Basissatz der Risikogemeinschaft von 1.7121 % (vgl. E. 7.4 hiervor), abzüglich der Bonus/Malus der Heilkosten und Taggelder sowie des Rentenkapitals auf 1,2618 %. Als Nettoprämiensatz in der BUV stellte die Vorinstanz in der Folge auf den diesem Bedarfssatz am nächsten liegenden Nettoprämiensatz des Suva-Grundtarifs, entsprechend die Stufe 86 mit einem Nettosatz von 1.265 %, ab. Diese Berechnungen der §Vorinstanz geben grundsätzlich ebenfalls zu keiner Beanstandung Anlass.</w:t>
      </w:r>
    </w:p>
    <w:p>
      <w:r>
        <w:rPr>
          <w:b/>
        </w:rPr>
        <w:t>E. 7.8</w:t>
      </w:r>
    </w:p>
    <w:p>
      <w:r>
        <w:t>Indessen hat die Vorinstanz in ihrer Vernehmlassung zu Recht darauf hingewiesen, dass die Beschwerdeführerin im Jahr 2015 in der BUV in der Stufe 72 eingereiht war und gestützt auf Art. 45 Abs. 3 des Prämientarifs die maximal zulässige jährliche Prämienänderung 4 Stufen im 150-stufigen Suva-Grundtarif beträgt. Kann der Nettoprämiensatz aufgrund der Begrenzung der jährlichen Prämienänderung nicht vollständig dem Prämienbedarf angeglichen werden, wird die Prämienänderung über maximal vier Jahre verteilt vorgenommen (Art. 45 Abs. 6 des Prämientarifs). Daher hat die Vorinstanz mit ihrer Vernehmlassung in Bezug auf den Nettoprämiensatz in der BUV eine teilweise Wiedererwägung vorgenommen, insoweit sie die Beschwerdeführerin - abweichend von dem angefochtenen Einspracheentscheid - für das Jahr in die Stufe 76 zu einem Nettoprämiensatz von 0.777 % eingereiht hat. Die Beschwerdeführerin hat in ihrer Replik diese teilweise Wiedererwägung durch die Vorinstanz nicht beanstandet. Nachdem sich diese teilweise Wiedererwägung nach dem Gesagten als tarifkonform erweist, ist der entsprechend in Wiedererwägung gezogene Einspracheentscheid vom Bundesverwaltungsgericht zu schützen.</w:t>
      </w:r>
    </w:p>
    <w:p>
      <w:r>
        <w:rPr>
          <w:b/>
        </w:rPr>
        <w:t>E. 7.9</w:t>
      </w:r>
    </w:p>
    <w:p>
      <w:r>
        <w:t>Zusammenfassend erweisen sich die neuen Berechnungen der Vorinstanz als nachvollziehbar. Nachdem die Vorinstanz nach dem Gesagten einerseits den beschwerdeführerischen Betrieb zu Recht in die Klasse 49A eingereiht und andererseits die verfügten Nettoprämien (unter Berücksichtigung der mit Vernehmlassung bezüglich des Nettoprämientarifs in der BUV vorgenommenen teilweisen Wiedererwägung) richtig berechnet hat, ist der von der Vorinstanz teilweise in Wiedererwägung gezogene angefochtene Einspracheentscheid vom 25. Februar 2019 zu bestätigen. Die Beschwerde vom 29. März 2019 ist entsprechend abzuweisen.</w:t>
      </w:r>
    </w:p>
    <w:p>
      <w:r>
        <w:rPr>
          <w:b/>
        </w:rPr>
        <w:t>E. 8.1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